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91" w:rsidRDefault="00007B91" w:rsidP="004D29CF">
      <w:pPr>
        <w:spacing w:line="680" w:lineRule="exact"/>
        <w:jc w:val="center"/>
        <w:rPr>
          <w:rFonts w:ascii="宋体" w:hAnsi="宋体"/>
          <w:sz w:val="32"/>
          <w:szCs w:val="20"/>
        </w:rPr>
      </w:pPr>
    </w:p>
    <w:p w:rsidR="00007B91" w:rsidRDefault="00007B91" w:rsidP="004D29CF">
      <w:pPr>
        <w:spacing w:line="680" w:lineRule="exact"/>
        <w:jc w:val="center"/>
        <w:rPr>
          <w:rFonts w:ascii="宋体" w:hAnsi="宋体"/>
          <w:sz w:val="32"/>
          <w:szCs w:val="20"/>
        </w:rPr>
      </w:pPr>
    </w:p>
    <w:p w:rsidR="00007B91" w:rsidRDefault="00007B91" w:rsidP="004D29CF">
      <w:pPr>
        <w:spacing w:line="680" w:lineRule="exact"/>
        <w:jc w:val="center"/>
        <w:rPr>
          <w:rFonts w:ascii="宋体" w:hAnsi="宋体"/>
          <w:sz w:val="32"/>
          <w:szCs w:val="20"/>
        </w:rPr>
      </w:pPr>
    </w:p>
    <w:p w:rsidR="00007B91" w:rsidRDefault="00007B91" w:rsidP="004D29CF">
      <w:pPr>
        <w:spacing w:line="680" w:lineRule="exact"/>
        <w:rPr>
          <w:rFonts w:ascii="宋体" w:hAnsi="宋体"/>
          <w:sz w:val="32"/>
          <w:szCs w:val="20"/>
        </w:rPr>
      </w:pPr>
    </w:p>
    <w:p w:rsidR="00007B91" w:rsidRDefault="00007B91" w:rsidP="004D29CF">
      <w:pPr>
        <w:spacing w:line="680" w:lineRule="exact"/>
        <w:rPr>
          <w:rFonts w:ascii="宋体" w:hAnsi="宋体"/>
          <w:sz w:val="32"/>
          <w:szCs w:val="20"/>
        </w:rPr>
      </w:pPr>
    </w:p>
    <w:p w:rsidR="00007B91" w:rsidRDefault="00007B91" w:rsidP="004D29CF">
      <w:pPr>
        <w:spacing w:line="680" w:lineRule="exact"/>
        <w:jc w:val="center"/>
        <w:rPr>
          <w:rFonts w:ascii="宋体" w:hAnsi="宋体"/>
          <w:sz w:val="32"/>
          <w:szCs w:val="20"/>
        </w:rPr>
      </w:pPr>
    </w:p>
    <w:p w:rsidR="00007B91" w:rsidRDefault="00007B91" w:rsidP="004D29CF">
      <w:pPr>
        <w:spacing w:line="680" w:lineRule="exact"/>
        <w:jc w:val="center"/>
        <w:rPr>
          <w:rFonts w:ascii="宋体" w:hAnsi="宋体"/>
          <w:sz w:val="32"/>
          <w:szCs w:val="20"/>
        </w:rPr>
      </w:pPr>
    </w:p>
    <w:p w:rsidR="00007B91" w:rsidRDefault="00007B91" w:rsidP="00007B91">
      <w:pPr>
        <w:jc w:val="center"/>
        <w:rPr>
          <w:rFonts w:ascii="仿宋_GB2312" w:eastAsia="仿宋_GB2312" w:hAnsi="宋体"/>
          <w:sz w:val="32"/>
          <w:szCs w:val="20"/>
        </w:rPr>
      </w:pPr>
      <w:r>
        <w:rPr>
          <w:rFonts w:ascii="仿宋_GB2312" w:eastAsia="仿宋_GB2312" w:hAnsi="宋体" w:hint="eastAsia"/>
          <w:sz w:val="32"/>
          <w:szCs w:val="32"/>
        </w:rPr>
        <w:t>北工商校发</w:t>
      </w:r>
      <w:r>
        <w:rPr>
          <w:rFonts w:ascii="仿宋_GB2312" w:eastAsia="仿宋_GB2312" w:hAnsi="仿宋_GB2312" w:hint="eastAsia"/>
          <w:sz w:val="32"/>
          <w:szCs w:val="32"/>
        </w:rPr>
        <w:t>〔2021〕5号</w:t>
      </w:r>
    </w:p>
    <w:p w:rsidR="00007B91" w:rsidRDefault="00007B91" w:rsidP="00007B91">
      <w:pPr>
        <w:spacing w:line="340" w:lineRule="exact"/>
        <w:jc w:val="center"/>
        <w:rPr>
          <w:rFonts w:ascii="宋体" w:hAnsi="宋体"/>
          <w:sz w:val="28"/>
          <w:szCs w:val="20"/>
        </w:rPr>
      </w:pPr>
    </w:p>
    <w:p w:rsidR="00007B91" w:rsidRPr="00007B91" w:rsidRDefault="00007B91" w:rsidP="00007B91">
      <w:pPr>
        <w:spacing w:line="560" w:lineRule="exact"/>
        <w:rPr>
          <w:rFonts w:ascii="方正小标宋简体" w:eastAsia="方正小标宋简体" w:hAnsi="方正小标宋简体" w:cs="方正小标宋简体"/>
          <w:bCs/>
          <w:sz w:val="44"/>
          <w:szCs w:val="44"/>
        </w:rPr>
      </w:pPr>
    </w:p>
    <w:p w:rsidR="00EB5C08" w:rsidRPr="00007B91" w:rsidRDefault="00B96EE6" w:rsidP="00007B91">
      <w:pPr>
        <w:spacing w:line="560" w:lineRule="exact"/>
        <w:jc w:val="center"/>
        <w:rPr>
          <w:rFonts w:ascii="方正小标宋简体" w:eastAsia="方正小标宋简体" w:hAnsi="方正小标宋简体" w:cs="方正小标宋简体"/>
          <w:bCs/>
          <w:sz w:val="44"/>
          <w:szCs w:val="44"/>
        </w:rPr>
      </w:pPr>
      <w:r w:rsidRPr="00007B91">
        <w:rPr>
          <w:rFonts w:ascii="方正小标宋简体" w:eastAsia="方正小标宋简体" w:hAnsi="方正小标宋简体" w:cs="方正小标宋简体" w:hint="eastAsia"/>
          <w:bCs/>
          <w:sz w:val="44"/>
          <w:szCs w:val="44"/>
        </w:rPr>
        <w:t>北京工商大学关于构建本科招生、培养和</w:t>
      </w:r>
    </w:p>
    <w:p w:rsidR="00EB5C08" w:rsidRPr="00007B91" w:rsidRDefault="00B96EE6" w:rsidP="00007B91">
      <w:pPr>
        <w:spacing w:line="560" w:lineRule="exact"/>
        <w:jc w:val="center"/>
        <w:rPr>
          <w:rFonts w:ascii="方正小标宋简体" w:eastAsia="方正小标宋简体" w:hAnsi="仿宋_GB2312" w:cs="仿宋_GB2312"/>
          <w:sz w:val="44"/>
          <w:szCs w:val="44"/>
        </w:rPr>
      </w:pPr>
      <w:r w:rsidRPr="00007B91">
        <w:rPr>
          <w:rFonts w:ascii="方正小标宋简体" w:eastAsia="方正小标宋简体" w:hAnsi="方正小标宋简体" w:cs="方正小标宋简体" w:hint="eastAsia"/>
          <w:bCs/>
          <w:sz w:val="44"/>
          <w:szCs w:val="44"/>
        </w:rPr>
        <w:t>就业联动机制的实施意见</w:t>
      </w:r>
      <w:r w:rsidRPr="00007B91">
        <w:rPr>
          <w:rFonts w:ascii="方正小标宋简体" w:eastAsia="方正小标宋简体" w:hAnsi="仿宋_GB2312" w:cs="仿宋_GB2312" w:hint="eastAsia"/>
          <w:sz w:val="44"/>
          <w:szCs w:val="44"/>
        </w:rPr>
        <w:t>（试行）</w:t>
      </w:r>
    </w:p>
    <w:p w:rsidR="00007B91" w:rsidRPr="00007B91" w:rsidRDefault="00007B91" w:rsidP="00007B91">
      <w:pPr>
        <w:spacing w:line="560" w:lineRule="exact"/>
        <w:jc w:val="center"/>
        <w:rPr>
          <w:rFonts w:ascii="方正小标宋简体" w:eastAsia="方正小标宋简体" w:hAnsi="方正小标宋简体" w:cs="方正小标宋简体"/>
          <w:b/>
          <w:bCs/>
          <w:sz w:val="36"/>
          <w:szCs w:val="36"/>
        </w:rPr>
      </w:pPr>
    </w:p>
    <w:p w:rsidR="00EB5C08" w:rsidRDefault="00B96EE6" w:rsidP="00007B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教育部关于推动高校形成就业与招生计划人才培养联动机制的指导意见（教高〔2017〕8号）》文件有关精神，主动对接国家需要，建立招生计划动态调整机制，完善专业动态调整机制，完善专业人才预测、预警系统，提高专业建设质量，结合我校具体情况制定《北京工商大学构建本科招生、培养和就业联动机制的实施意见》，请遵照执行。</w:t>
      </w:r>
    </w:p>
    <w:p w:rsidR="00EB5C08" w:rsidRDefault="00B96EE6" w:rsidP="00007B91">
      <w:pPr>
        <w:pStyle w:val="a7"/>
        <w:spacing w:line="560" w:lineRule="exact"/>
        <w:ind w:left="640" w:firstLineChars="0" w:firstLine="0"/>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一、</w:t>
      </w:r>
      <w:r>
        <w:rPr>
          <w:rFonts w:ascii="Times New Roman" w:eastAsia="黑体" w:hAnsi="Times New Roman" w:cs="Times New Roman"/>
          <w:color w:val="000000"/>
          <w:sz w:val="32"/>
          <w:szCs w:val="32"/>
        </w:rPr>
        <w:t>主要目标</w:t>
      </w:r>
    </w:p>
    <w:p w:rsidR="00EB5C08" w:rsidRDefault="00B96EE6" w:rsidP="00007B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提升本科生源质量，推动落实招生—培养—就业联动机制，推动落实专业（类）供给侧改革，释放人才培养活力，打造高水平的商科、轻工和食品特色的人才培养生态体系，</w:t>
      </w:r>
      <w:r>
        <w:rPr>
          <w:rFonts w:ascii="仿宋_GB2312" w:eastAsia="仿宋_GB2312" w:hAnsi="仿宋_GB2312" w:cs="仿宋_GB2312" w:hint="eastAsia"/>
          <w:sz w:val="32"/>
          <w:szCs w:val="32"/>
        </w:rPr>
        <w:lastRenderedPageBreak/>
        <w:t>提高毕业生就业质量，形成招生-培养-就业质量提升的良性循环。</w:t>
      </w:r>
    </w:p>
    <w:p w:rsidR="00EB5C08" w:rsidRPr="00007B91" w:rsidRDefault="00B96EE6" w:rsidP="00007B91">
      <w:pPr>
        <w:spacing w:line="560" w:lineRule="exact"/>
        <w:ind w:firstLineChars="200" w:firstLine="640"/>
        <w:rPr>
          <w:rFonts w:ascii="黑体" w:eastAsia="黑体" w:hAnsi="黑体" w:cs="黑体"/>
          <w:bCs/>
          <w:sz w:val="32"/>
          <w:szCs w:val="32"/>
        </w:rPr>
      </w:pPr>
      <w:r w:rsidRPr="00007B91">
        <w:rPr>
          <w:rFonts w:ascii="黑体" w:eastAsia="黑体" w:hAnsi="黑体" w:cs="黑体" w:hint="eastAsia"/>
          <w:bCs/>
          <w:sz w:val="32"/>
          <w:szCs w:val="32"/>
        </w:rPr>
        <w:t>二、成立学校招生、培养和就业联动机制工作领导小组</w:t>
      </w:r>
    </w:p>
    <w:p w:rsidR="00EB5C08" w:rsidRDefault="00B96EE6" w:rsidP="00007B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学校成立以校长为组长，分管本科教学工作的副校长和招生就业工作的副校长为副组长，招生就业处、发展规划处、教务处、研究生院、学校办公室等单位负责人为成员的学校</w:t>
      </w:r>
      <w:r w:rsidRPr="00007B91">
        <w:rPr>
          <w:rFonts w:ascii="仿宋_GB2312" w:eastAsia="仿宋_GB2312" w:hAnsi="仿宋_GB2312" w:cs="仿宋_GB2312" w:hint="eastAsia"/>
          <w:spacing w:val="-8"/>
          <w:sz w:val="32"/>
          <w:szCs w:val="32"/>
        </w:rPr>
        <w:t>招生、培养和就业联动机制工作领导小组。领导小组设置如下：</w:t>
      </w:r>
    </w:p>
    <w:p w:rsidR="00EB5C08" w:rsidRDefault="00B96EE6" w:rsidP="00007B91">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组  长：校长</w:t>
      </w:r>
    </w:p>
    <w:p w:rsidR="00EB5C08" w:rsidRDefault="00B96EE6" w:rsidP="00007B91">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副组长：分管本科招生就业工作的校领导</w:t>
      </w:r>
    </w:p>
    <w:p w:rsidR="00EB5C08" w:rsidRDefault="00B96EE6" w:rsidP="00007B91">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分管本科教学工作的校领导 </w:t>
      </w:r>
    </w:p>
    <w:p w:rsidR="00EB5C08" w:rsidRDefault="00B96EE6" w:rsidP="00007B91">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成  员：学校办公室、招生就业处、教务处、发展规划处、学生处、人事处、科学技术处、研究生院、公共事务处及各学院主要负责人</w:t>
      </w:r>
    </w:p>
    <w:p w:rsidR="00EB5C08" w:rsidRDefault="00B96EE6" w:rsidP="00007B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办公室设在招生就业处。</w:t>
      </w:r>
    </w:p>
    <w:p w:rsidR="00EB5C08" w:rsidRPr="00007B91" w:rsidRDefault="00B96EE6" w:rsidP="00007B91">
      <w:pPr>
        <w:spacing w:line="560" w:lineRule="exact"/>
        <w:ind w:firstLineChars="200" w:firstLine="640"/>
        <w:rPr>
          <w:rFonts w:ascii="黑体" w:eastAsia="黑体" w:hAnsi="黑体" w:cs="黑体"/>
          <w:bCs/>
          <w:sz w:val="32"/>
          <w:szCs w:val="32"/>
        </w:rPr>
      </w:pPr>
      <w:r w:rsidRPr="00007B91">
        <w:rPr>
          <w:rFonts w:ascii="黑体" w:eastAsia="黑体" w:hAnsi="黑体" w:cs="黑体" w:hint="eastAsia"/>
          <w:bCs/>
          <w:sz w:val="32"/>
          <w:szCs w:val="32"/>
        </w:rPr>
        <w:t>三、具体培养措施</w:t>
      </w:r>
    </w:p>
    <w:p w:rsidR="00EB5C08" w:rsidRDefault="00B96EE6" w:rsidP="00007B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采取一系列措施将质量要求内化为全校师生的共同价值追求和自觉行为。例如: 开展教学竞赛，组织教学改革研究方法研讨会等深入开展教学研究、改进教学方法、创新教学技术，支持本科生参与科研活动; 引入网络学习平台，更新完善教学内容，加强教学资源建设，将“互联网 + ”融入到教学过程中。建设以优秀教师为带头人教学团队，注重掌握现代化信息技术，将现代化的信息技术与课堂教学相融合。转变以往单一式的课堂教学，由原来的知识灌输转变为动手实践能力的培育等。同时，主动对接经济社会发展需求，完善专业动态调整机制。实行有进有出的专业增减机制，构建与自身办学定位和办学特色相匹配的专业体系。</w:t>
      </w:r>
    </w:p>
    <w:p w:rsidR="00EB5C08" w:rsidRDefault="00B96EE6" w:rsidP="00007B9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采用新型模式，降低供需不平衡带来的就业问题。</w:t>
      </w:r>
    </w:p>
    <w:p w:rsidR="00EB5C08" w:rsidRDefault="00B96EE6" w:rsidP="00007B9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4D29C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可采用紧扣社会对人才需求的订单式招生模式，提升学生就业能力。近年来就业形势愈发严峻，越来越多的应届毕业生面临找工作难的问题，而采用“订单式”人才招生模式，学校与优秀企业建立起长期稳定的合作，减少学生们就业难的问题，吸引更多的学生自愿报考。一是可以消除大部分学生的后顾之忧，不必为找不到合适的工作而忧虑；二是“订单式”人才培养是按照企业要求来进行对口培养，学生们填报志愿时选择自身感兴趣的专业，四年大学学习有了明确的目标，学习质量大大提高，从而也为企业提供优秀的员工；三是企业可安排学生提前到岗角色融合，营造出浓厚的企业文化氛围，提高学生的就业能力。</w:t>
      </w:r>
    </w:p>
    <w:p w:rsidR="00EB5C08" w:rsidRDefault="00B96EE6" w:rsidP="00007B9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4D29C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实现供需耦合，高校需对标人才需求变化，调整人才培养目标，教学计划安排，积极开设“卓越试验班”“创新拔尖班”等模式的招生与培养，引导社会企业积极参与到人才培养过程中来，拓展学生的就业途径。</w:t>
      </w:r>
    </w:p>
    <w:p w:rsidR="00EB5C08" w:rsidRDefault="00B96EE6" w:rsidP="00007B91">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4D29C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行学分制。以选课为核心，以指导教师为辅助，通过绩点和学分衡量学生学习质量。以弹性的教学计划和学制代替刚性的教学计划和学制，需要教学计划有较大的时间弹性和选课弹性。以选课代替排课，允许学生根据自己的能力与兴趣安排个人的修学计划，甚至随时改变专业。能够增强教师的竞争意识，有利于提高教学效果。</w:t>
      </w:r>
    </w:p>
    <w:p w:rsidR="00EB5C08" w:rsidRDefault="00B96EE6" w:rsidP="00007B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遵循专业差异性，分类管理是保障。各专业办学定位、服务面向相异，需要统筹管理，分类量化。其次进行专业分类。根据专业特性进行分类，以便客观、合理地进行评价。分为经管类专业、文法类专业、理工类专业和新专业、特殊专业。新专业为没有毕业生的专业。特殊专业是指招生情况特殊的专业，包括艺术类、单招类以及其他承担专项计划招生任务的专业，分类进行考核。</w:t>
      </w:r>
    </w:p>
    <w:p w:rsidR="00EB5C08" w:rsidRPr="00007B91" w:rsidRDefault="00B96EE6" w:rsidP="00007B91">
      <w:pPr>
        <w:spacing w:line="560" w:lineRule="exact"/>
        <w:ind w:firstLineChars="200" w:firstLine="640"/>
        <w:rPr>
          <w:rFonts w:ascii="黑体" w:eastAsia="黑体" w:hAnsi="黑体" w:cs="黑体"/>
          <w:sz w:val="32"/>
          <w:szCs w:val="32"/>
        </w:rPr>
      </w:pPr>
      <w:r w:rsidRPr="00007B91">
        <w:rPr>
          <w:rFonts w:ascii="黑体" w:eastAsia="黑体" w:hAnsi="黑体" w:cs="黑体" w:hint="eastAsia"/>
          <w:bCs/>
          <w:sz w:val="32"/>
          <w:szCs w:val="32"/>
        </w:rPr>
        <w:t>四、量化指标，制定考核办法</w:t>
      </w:r>
    </w:p>
    <w:p w:rsidR="00EB5C08" w:rsidRDefault="00B96EE6" w:rsidP="00007B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本科生考核内容：依据学校《北京工商大学招生-培养-就业联动机制专业评价指标体系》考核的结果，重点考察本科专业：人才培养目标、</w:t>
      </w:r>
      <w:r>
        <w:rPr>
          <w:rFonts w:ascii="仿宋_GB2312" w:eastAsia="仿宋_GB2312" w:hAnsi="仿宋_GB2312" w:cs="仿宋_GB2312" w:hint="eastAsia"/>
          <w:color w:val="000000"/>
          <w:sz w:val="32"/>
          <w:szCs w:val="32"/>
        </w:rPr>
        <w:t>人才培养核心竞争力（含</w:t>
      </w:r>
      <w:r>
        <w:rPr>
          <w:rFonts w:ascii="仿宋_GB2312" w:eastAsia="仿宋_GB2312" w:hAnsi="仿宋_GB2312" w:cs="仿宋_GB2312" w:hint="eastAsia"/>
          <w:sz w:val="32"/>
          <w:szCs w:val="32"/>
        </w:rPr>
        <w:t>师资队伍水平、优质专业申报数量、课程建设水平、大学英语四、六级通过率、学科竞赛获奖数量、学业预警率、毕业率学位率）、</w:t>
      </w:r>
      <w:r>
        <w:rPr>
          <w:rFonts w:ascii="仿宋_GB2312" w:eastAsia="仿宋_GB2312" w:hAnsi="仿宋_GB2312" w:cs="仿宋_GB2312" w:hint="eastAsia"/>
          <w:color w:val="000000"/>
          <w:sz w:val="32"/>
          <w:szCs w:val="32"/>
        </w:rPr>
        <w:t>人才需求情况（含：</w:t>
      </w:r>
      <w:r>
        <w:rPr>
          <w:rFonts w:ascii="仿宋_GB2312" w:eastAsia="仿宋_GB2312" w:hAnsi="仿宋_GB2312" w:cs="仿宋_GB2312" w:hint="eastAsia"/>
          <w:sz w:val="32"/>
          <w:szCs w:val="32"/>
        </w:rPr>
        <w:t>一志愿报考率，录取平均分及位次排名情况、就业专业匹配度</w:t>
      </w:r>
      <w:r>
        <w:rPr>
          <w:rFonts w:ascii="仿宋_GB2312" w:eastAsia="仿宋_GB2312" w:hAnsi="仿宋_GB2312" w:cs="仿宋_GB2312" w:hint="eastAsia"/>
          <w:color w:val="000000"/>
          <w:sz w:val="32"/>
          <w:szCs w:val="32"/>
        </w:rPr>
        <w:t>）、专业分流志愿、转专业情况、毕业生就业创业情况（含</w:t>
      </w:r>
      <w:r>
        <w:rPr>
          <w:rFonts w:ascii="仿宋_GB2312" w:eastAsia="仿宋_GB2312" w:hAnsi="仿宋_GB2312" w:cs="仿宋_GB2312" w:hint="eastAsia"/>
          <w:sz w:val="32"/>
          <w:szCs w:val="32"/>
        </w:rPr>
        <w:t>就业率、签约率、升学率、专业排名（社会美誉度）及毕业生问卷调查对专业的认可度等</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w:t>
      </w:r>
    </w:p>
    <w:p w:rsidR="00EB5C08" w:rsidRDefault="00B96EE6" w:rsidP="00007B91">
      <w:pPr>
        <w:spacing w:line="560" w:lineRule="exact"/>
        <w:ind w:left="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（一）专业（类）人才培养目标（满分：5分）</w:t>
      </w:r>
    </w:p>
    <w:p w:rsidR="00EB5C08" w:rsidRDefault="00B96EE6" w:rsidP="00007B91">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专业（类）人才培养目标、定位、质量、结构等对接国家重大战略，服务北京市“四个中心建设”，服务行业转型升级情况；专业（类）人才培养对学科建设的贡献支撑情况；专业（类）人才培养目标完成情况。</w:t>
      </w:r>
    </w:p>
    <w:p w:rsidR="00EB5C08" w:rsidRDefault="00B96EE6" w:rsidP="00007B91">
      <w:pPr>
        <w:spacing w:line="560" w:lineRule="exact"/>
        <w:ind w:left="640"/>
        <w:rPr>
          <w:rFonts w:ascii="仿宋_GB2312" w:eastAsia="仿宋_GB2312" w:hAnsi="仿宋_GB2312" w:cs="仿宋_GB2312"/>
          <w:b/>
          <w:sz w:val="32"/>
          <w:szCs w:val="32"/>
        </w:rPr>
      </w:pPr>
      <w:r>
        <w:rPr>
          <w:rFonts w:ascii="仿宋_GB2312" w:eastAsia="仿宋_GB2312" w:hAnsi="仿宋_GB2312" w:cs="仿宋_GB2312" w:hint="eastAsia"/>
          <w:color w:val="000000"/>
          <w:sz w:val="32"/>
          <w:szCs w:val="32"/>
        </w:rPr>
        <w:t>（二）专业（类）人才培养核心竞争力（满分：25分）</w:t>
      </w:r>
    </w:p>
    <w:p w:rsidR="00EB5C08" w:rsidRDefault="00B96EE6" w:rsidP="00007B91">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专业（类）人才培养在培养方向、培养模式等方面与学校办学特色的契合度、与学院学科建设的契合度，专业（类）人才培养在师资队伍、生师比、信息化建设水平、一流专业、优质课程建设等方面的核心竞争力水平，此项根据教育部、北京市公布的国家级、市级的数据；升学率、四六级通过率、国家、省部级竞赛获奖情况以及学评教质量、学业警示率、毕业率学位授予率。（共10项）</w:t>
      </w:r>
    </w:p>
    <w:p w:rsidR="00EB5C08" w:rsidRDefault="00B96EE6" w:rsidP="00007B91">
      <w:pPr>
        <w:spacing w:line="560" w:lineRule="exact"/>
        <w:ind w:left="640"/>
        <w:rPr>
          <w:rFonts w:ascii="仿宋_GB2312" w:eastAsia="仿宋_GB2312" w:hAnsi="仿宋_GB2312" w:cs="仿宋_GB2312"/>
          <w:b/>
          <w:sz w:val="32"/>
          <w:szCs w:val="32"/>
        </w:rPr>
      </w:pPr>
      <w:r>
        <w:rPr>
          <w:rFonts w:ascii="仿宋_GB2312" w:eastAsia="仿宋_GB2312" w:hAnsi="仿宋_GB2312" w:cs="仿宋_GB2312" w:hint="eastAsia"/>
          <w:color w:val="000000"/>
          <w:sz w:val="32"/>
          <w:szCs w:val="32"/>
        </w:rPr>
        <w:t>（三）专业（类）人才需求情况（满分：30分）</w:t>
      </w:r>
    </w:p>
    <w:p w:rsidR="00EB5C08" w:rsidRDefault="00B96EE6" w:rsidP="00007B91">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国家、北京市对专业（类）人才需求及预判，主要依据专业（类）一志愿报考率，录取平均分及位次排名情况（重点考评北京市的录取情况），就业专业对口率。</w:t>
      </w:r>
    </w:p>
    <w:p w:rsidR="00EB5C08" w:rsidRDefault="00B96EE6" w:rsidP="00007B91">
      <w:pPr>
        <w:spacing w:line="560" w:lineRule="exact"/>
        <w:ind w:left="640"/>
        <w:rPr>
          <w:rFonts w:ascii="仿宋_GB2312" w:eastAsia="仿宋_GB2312" w:hAnsi="仿宋_GB2312" w:cs="仿宋_GB2312"/>
          <w:color w:val="000000"/>
          <w:spacing w:val="-20"/>
          <w:sz w:val="32"/>
          <w:szCs w:val="32"/>
        </w:rPr>
      </w:pPr>
      <w:r>
        <w:rPr>
          <w:rFonts w:ascii="仿宋_GB2312" w:eastAsia="仿宋_GB2312" w:hAnsi="仿宋_GB2312" w:cs="仿宋_GB2312" w:hint="eastAsia"/>
          <w:color w:val="000000"/>
          <w:spacing w:val="-20"/>
          <w:sz w:val="32"/>
          <w:szCs w:val="32"/>
        </w:rPr>
        <w:t>（四）专业（类）专业分流志愿、转专业情况（满分：10分）</w:t>
      </w:r>
    </w:p>
    <w:p w:rsidR="00EB5C08" w:rsidRDefault="00B96EE6" w:rsidP="00007B91">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按专业（类）招生，按专业（类）培养，尊重学生对专业（类）的需求与选择，主要依据专业（类）转专业率，专业分流满编率、毕业生问卷调查对专业的认可度。</w:t>
      </w:r>
    </w:p>
    <w:p w:rsidR="00EB5C08" w:rsidRDefault="00B96EE6" w:rsidP="00007B91">
      <w:pPr>
        <w:spacing w:line="560" w:lineRule="exact"/>
        <w:ind w:left="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（五）专业(类)毕业生就业创业情况（满分：30分）</w:t>
      </w:r>
    </w:p>
    <w:p w:rsidR="00EB5C08" w:rsidRDefault="00B96EE6" w:rsidP="00007B91">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专业（类）毕业生服务国家重大战略、行业企业情况，主要数据依据就业率、核心就业率、深造率等。</w:t>
      </w:r>
    </w:p>
    <w:p w:rsidR="00EB5C08" w:rsidRPr="00007B91" w:rsidRDefault="00B96EE6" w:rsidP="00007B91">
      <w:pPr>
        <w:spacing w:line="560" w:lineRule="exact"/>
        <w:ind w:firstLineChars="200" w:firstLine="640"/>
        <w:rPr>
          <w:rFonts w:ascii="黑体" w:eastAsia="黑体" w:hAnsi="黑体" w:cs="黑体"/>
          <w:bCs/>
          <w:sz w:val="32"/>
          <w:szCs w:val="32"/>
        </w:rPr>
      </w:pPr>
      <w:r w:rsidRPr="00007B91">
        <w:rPr>
          <w:rFonts w:ascii="黑体" w:eastAsia="黑体" w:hAnsi="黑体" w:cs="黑体" w:hint="eastAsia"/>
          <w:bCs/>
          <w:sz w:val="32"/>
          <w:szCs w:val="32"/>
        </w:rPr>
        <w:t>五、考核与考核结果公布时间</w:t>
      </w:r>
    </w:p>
    <w:p w:rsidR="00EB5C08" w:rsidRDefault="00B96EE6" w:rsidP="00007B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教务处负责第一、二、四项的考核工作，招生就业处负责第三、五项的考核工作；每年11月底开始，一个月内完成考核任务，考核结果在12月底经过联动机制领导小组整理分析，通过校长办公会后面向全校发布。</w:t>
      </w:r>
    </w:p>
    <w:p w:rsidR="00EB5C08" w:rsidRPr="00007B91" w:rsidRDefault="00B96EE6" w:rsidP="00007B91">
      <w:pPr>
        <w:spacing w:line="560" w:lineRule="exact"/>
        <w:ind w:firstLineChars="200" w:firstLine="640"/>
        <w:rPr>
          <w:rFonts w:ascii="黑体" w:eastAsia="黑体" w:hAnsi="黑体" w:cs="黑体"/>
          <w:bCs/>
          <w:sz w:val="32"/>
          <w:szCs w:val="32"/>
        </w:rPr>
      </w:pPr>
      <w:r w:rsidRPr="00007B91">
        <w:rPr>
          <w:rFonts w:ascii="黑体" w:eastAsia="黑体" w:hAnsi="黑体" w:cs="黑体" w:hint="eastAsia"/>
          <w:bCs/>
          <w:sz w:val="32"/>
          <w:szCs w:val="32"/>
        </w:rPr>
        <w:t>六、采取的联动措施（考核结果的使用）</w:t>
      </w:r>
    </w:p>
    <w:p w:rsidR="00EB5C08" w:rsidRDefault="00B96EE6" w:rsidP="00007B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（一）专业预警机制</w:t>
      </w:r>
    </w:p>
    <w:p w:rsidR="00EB5C08" w:rsidRDefault="00B96EE6" w:rsidP="00007B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4D29C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对当年整体考核排名在后6%位的专业进行预警提示。</w:t>
      </w:r>
    </w:p>
    <w:p w:rsidR="00EB5C08" w:rsidRPr="00007B91" w:rsidRDefault="00B96EE6" w:rsidP="00007B91">
      <w:pPr>
        <w:spacing w:line="560" w:lineRule="exact"/>
        <w:ind w:firstLineChars="200" w:firstLine="640"/>
        <w:rPr>
          <w:rFonts w:ascii="仿宋_GB2312" w:eastAsia="仿宋_GB2312" w:hAnsi="仿宋_GB2312" w:cs="仿宋_GB2312"/>
          <w:spacing w:val="-8"/>
          <w:sz w:val="32"/>
          <w:szCs w:val="32"/>
        </w:rPr>
      </w:pPr>
      <w:r>
        <w:rPr>
          <w:rFonts w:ascii="仿宋_GB2312" w:eastAsia="仿宋_GB2312" w:hAnsi="仿宋_GB2312" w:cs="仿宋_GB2312" w:hint="eastAsia"/>
          <w:sz w:val="32"/>
          <w:szCs w:val="32"/>
        </w:rPr>
        <w:t>2</w:t>
      </w:r>
      <w:r w:rsidR="004D29CF">
        <w:rPr>
          <w:rFonts w:ascii="仿宋_GB2312" w:eastAsia="仿宋_GB2312" w:hAnsi="仿宋_GB2312" w:cs="仿宋_GB2312" w:hint="eastAsia"/>
          <w:sz w:val="32"/>
          <w:szCs w:val="32"/>
        </w:rPr>
        <w:t>.</w:t>
      </w:r>
      <w:r w:rsidRPr="00007B91">
        <w:rPr>
          <w:rFonts w:ascii="仿宋_GB2312" w:eastAsia="仿宋_GB2312" w:hAnsi="仿宋_GB2312" w:cs="仿宋_GB2312" w:hint="eastAsia"/>
          <w:spacing w:val="-8"/>
          <w:sz w:val="32"/>
          <w:szCs w:val="32"/>
        </w:rPr>
        <w:t>对整体考核连续2年排名后6%位的专业进行黄牌警告。</w:t>
      </w:r>
    </w:p>
    <w:p w:rsidR="00EB5C08" w:rsidRDefault="00B96EE6" w:rsidP="00007B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（二）招生计划动态调整机制</w:t>
      </w:r>
    </w:p>
    <w:p w:rsidR="00EB5C08" w:rsidRDefault="00B96EE6" w:rsidP="00007B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4D29C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当年专业考核测评排名前10%名的专业，在招生计划增量分配中给予适当倾斜。</w:t>
      </w:r>
    </w:p>
    <w:p w:rsidR="00EB5C08" w:rsidRDefault="00B96EE6" w:rsidP="00007B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4D29C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当年对考核排名后6%的专业，控制招生名额不得参与计划增量的分配。</w:t>
      </w:r>
    </w:p>
    <w:p w:rsidR="00EB5C08" w:rsidRDefault="00B96EE6" w:rsidP="00007B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4D29C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对连续三年考核排名在后6%的专业，自下一年度起减半招生计划或暂停其招生计划，后续是否恢复招生由领导小组视其改进情况报经校长办公会决定。</w:t>
      </w:r>
    </w:p>
    <w:p w:rsidR="00EB5C08" w:rsidRDefault="00B96EE6" w:rsidP="00007B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（三）完善激励机制与专业动态调整</w:t>
      </w:r>
    </w:p>
    <w:p w:rsidR="00EB5C08" w:rsidRDefault="00B96EE6" w:rsidP="00007B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将经费划拨、人员编制等与学生数量适度挂钩。</w:t>
      </w:r>
    </w:p>
    <w:p w:rsidR="00EB5C08" w:rsidRDefault="00B96EE6" w:rsidP="00007B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对于考核连续考评前十名的专业，在按生均培养经费的基础上提高10%的水平分配到专业，加强专业及课程建设。</w:t>
      </w:r>
    </w:p>
    <w:p w:rsidR="00EB5C08" w:rsidRDefault="00B96EE6" w:rsidP="00007B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连续三年考评排名前5名的专业，可申请开设“创新实验班”培养创新拔尖人才，生源计划指标优先分配，推荐免试攻读研究生比例不低于12%。</w:t>
      </w:r>
    </w:p>
    <w:p w:rsidR="00EB5C08" w:rsidRDefault="00B96EE6" w:rsidP="00007B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4D29C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制定专业建设规划，构建与我校办学定位和办学特色相匹配的专业体系。优先设置国家战略新兴产业发展、社会建设和公共服务领域改善民生急需的专业，进一步优化专业结构，不断提高人才培养和社会需求的契合度。进而建立盘活专业存量、能上能下的专业调整机制。</w:t>
      </w:r>
    </w:p>
    <w:p w:rsidR="00EB5C08" w:rsidRDefault="00B96EE6" w:rsidP="00007B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4D29C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继续加大转专业工作力度，放宽限制。最大限度满足学生的专业选择权，激发学生的学习兴趣和潜能。</w:t>
      </w:r>
    </w:p>
    <w:p w:rsidR="00EB5C08" w:rsidRDefault="00B96EE6" w:rsidP="00007B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4D29C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继续推进双学位、辅修专业、辅修课程建设，推行多学科交叉融合培养模式。</w:t>
      </w:r>
    </w:p>
    <w:p w:rsidR="00EB5C08" w:rsidRPr="004D29CF" w:rsidRDefault="00EB5C08" w:rsidP="00007B91">
      <w:pPr>
        <w:spacing w:line="560" w:lineRule="exact"/>
        <w:ind w:firstLineChars="2200" w:firstLine="7040"/>
        <w:rPr>
          <w:rFonts w:ascii="仿宋_GB2312" w:eastAsia="仿宋_GB2312" w:hAnsi="仿宋_GB2312" w:cs="仿宋_GB2312"/>
          <w:sz w:val="32"/>
          <w:szCs w:val="32"/>
        </w:rPr>
      </w:pPr>
    </w:p>
    <w:p w:rsidR="00007B91" w:rsidRDefault="00007B91" w:rsidP="00007B91">
      <w:pPr>
        <w:spacing w:line="560" w:lineRule="exact"/>
        <w:ind w:firstLineChars="2200" w:firstLine="7040"/>
        <w:rPr>
          <w:rFonts w:ascii="仿宋_GB2312" w:eastAsia="仿宋_GB2312" w:hAnsi="仿宋_GB2312" w:cs="仿宋_GB2312"/>
          <w:sz w:val="32"/>
          <w:szCs w:val="32"/>
        </w:rPr>
      </w:pPr>
    </w:p>
    <w:p w:rsidR="00EB5C08" w:rsidRDefault="00B96EE6" w:rsidP="00007B91">
      <w:pPr>
        <w:spacing w:line="560" w:lineRule="exact"/>
        <w:ind w:firstLineChars="1600" w:firstLine="51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北京工商大学</w:t>
      </w:r>
    </w:p>
    <w:p w:rsidR="00EB5C08" w:rsidRDefault="00B96EE6" w:rsidP="00007B91">
      <w:pPr>
        <w:spacing w:line="560" w:lineRule="exact"/>
        <w:ind w:firstLineChars="1500" w:firstLine="48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007B91">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sidR="00007B91">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sidR="00007B91">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w:t>
      </w:r>
    </w:p>
    <w:p w:rsidR="00EB5C08" w:rsidRDefault="00EB5C08" w:rsidP="00007B91">
      <w:pPr>
        <w:spacing w:line="560" w:lineRule="exact"/>
        <w:rPr>
          <w:b/>
          <w:bCs/>
        </w:rPr>
      </w:pPr>
    </w:p>
    <w:p w:rsidR="00EB5C08" w:rsidRDefault="00EB5C08" w:rsidP="00007B91">
      <w:pPr>
        <w:spacing w:line="560" w:lineRule="exact"/>
        <w:rPr>
          <w:b/>
          <w:bCs/>
        </w:rPr>
      </w:pPr>
    </w:p>
    <w:p w:rsidR="00EB5C08" w:rsidRDefault="00EB5C08">
      <w:pPr>
        <w:rPr>
          <w:b/>
          <w:bCs/>
        </w:rPr>
        <w:sectPr w:rsidR="00EB5C08">
          <w:footerReference w:type="default" r:id="rId8"/>
          <w:pgSz w:w="11906" w:h="16838"/>
          <w:pgMar w:top="1440" w:right="1800" w:bottom="1440" w:left="1800" w:header="851" w:footer="992" w:gutter="0"/>
          <w:cols w:space="425"/>
          <w:docGrid w:type="lines" w:linePitch="312"/>
        </w:sectPr>
      </w:pPr>
    </w:p>
    <w:p w:rsidR="00EB5C08" w:rsidRPr="00007B91" w:rsidRDefault="00007B91">
      <w:pPr>
        <w:rPr>
          <w:rFonts w:ascii="方正小标宋简体" w:eastAsia="方正小标宋简体" w:hAnsi="黑体" w:cs="黑体"/>
          <w:bCs/>
          <w:sz w:val="32"/>
          <w:szCs w:val="32"/>
        </w:rPr>
      </w:pPr>
      <w:r w:rsidRPr="00007B91">
        <w:rPr>
          <w:rFonts w:ascii="黑体" w:eastAsia="黑体" w:hAnsi="黑体" w:cs="黑体" w:hint="eastAsia"/>
          <w:bCs/>
          <w:sz w:val="32"/>
          <w:szCs w:val="32"/>
        </w:rPr>
        <w:t>附件</w:t>
      </w:r>
      <w:r>
        <w:rPr>
          <w:rFonts w:ascii="黑体" w:eastAsia="黑体" w:hAnsi="黑体" w:cs="黑体" w:hint="eastAsia"/>
          <w:b/>
          <w:bCs/>
          <w:sz w:val="32"/>
          <w:szCs w:val="32"/>
        </w:rPr>
        <w:t xml:space="preserve">         </w:t>
      </w:r>
      <w:r w:rsidR="00B96EE6" w:rsidRPr="00007B91">
        <w:rPr>
          <w:rFonts w:ascii="方正小标宋简体" w:eastAsia="方正小标宋简体" w:hAnsi="黑体" w:cs="黑体" w:hint="eastAsia"/>
          <w:bCs/>
          <w:sz w:val="32"/>
          <w:szCs w:val="32"/>
        </w:rPr>
        <w:t>北京工商大学招生-培养-就业联动机制专业评价指标体系表</w:t>
      </w:r>
    </w:p>
    <w:tbl>
      <w:tblPr>
        <w:tblW w:w="13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870"/>
        <w:gridCol w:w="2790"/>
        <w:gridCol w:w="810"/>
        <w:gridCol w:w="4590"/>
        <w:gridCol w:w="1030"/>
        <w:gridCol w:w="1890"/>
      </w:tblGrid>
      <w:tr w:rsidR="00EB5C08">
        <w:tc>
          <w:tcPr>
            <w:tcW w:w="1830" w:type="dxa"/>
            <w:vMerge w:val="restart"/>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一级考核指标</w:t>
            </w:r>
          </w:p>
        </w:tc>
        <w:tc>
          <w:tcPr>
            <w:tcW w:w="870" w:type="dxa"/>
            <w:vMerge w:val="restart"/>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权重</w:t>
            </w:r>
          </w:p>
        </w:tc>
        <w:tc>
          <w:tcPr>
            <w:tcW w:w="2790" w:type="dxa"/>
            <w:vMerge w:val="restart"/>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二级指标</w:t>
            </w:r>
          </w:p>
        </w:tc>
        <w:tc>
          <w:tcPr>
            <w:tcW w:w="810" w:type="dxa"/>
            <w:vMerge w:val="restart"/>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权重（%）</w:t>
            </w:r>
          </w:p>
        </w:tc>
        <w:tc>
          <w:tcPr>
            <w:tcW w:w="4590" w:type="dxa"/>
            <w:vMerge w:val="restart"/>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评价标准</w:t>
            </w:r>
          </w:p>
        </w:tc>
        <w:tc>
          <w:tcPr>
            <w:tcW w:w="2920" w:type="dxa"/>
            <w:gridSpan w:val="2"/>
            <w:vAlign w:val="center"/>
          </w:tcPr>
          <w:p w:rsidR="00EB5C08" w:rsidRDefault="00B96EE6">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得分情况</w:t>
            </w:r>
          </w:p>
        </w:tc>
      </w:tr>
      <w:tr w:rsidR="00EB5C08">
        <w:trPr>
          <w:trHeight w:val="315"/>
        </w:trPr>
        <w:tc>
          <w:tcPr>
            <w:tcW w:w="1830" w:type="dxa"/>
            <w:vMerge/>
            <w:vAlign w:val="center"/>
          </w:tcPr>
          <w:p w:rsidR="00EB5C08" w:rsidRDefault="00EB5C08">
            <w:pPr>
              <w:jc w:val="center"/>
              <w:rPr>
                <w:rFonts w:ascii="仿宋_GB2312" w:eastAsia="仿宋_GB2312" w:hAnsi="仿宋_GB2312" w:cs="仿宋_GB2312"/>
                <w:sz w:val="24"/>
              </w:rPr>
            </w:pPr>
          </w:p>
        </w:tc>
        <w:tc>
          <w:tcPr>
            <w:tcW w:w="870" w:type="dxa"/>
            <w:vMerge/>
            <w:vAlign w:val="center"/>
          </w:tcPr>
          <w:p w:rsidR="00EB5C08" w:rsidRDefault="00EB5C08">
            <w:pPr>
              <w:rPr>
                <w:rFonts w:ascii="仿宋_GB2312" w:eastAsia="仿宋_GB2312" w:hAnsi="仿宋_GB2312" w:cs="仿宋_GB2312"/>
                <w:sz w:val="24"/>
              </w:rPr>
            </w:pPr>
          </w:p>
        </w:tc>
        <w:tc>
          <w:tcPr>
            <w:tcW w:w="2790" w:type="dxa"/>
            <w:vMerge/>
            <w:vAlign w:val="center"/>
          </w:tcPr>
          <w:p w:rsidR="00EB5C08" w:rsidRDefault="00EB5C08">
            <w:pPr>
              <w:jc w:val="center"/>
              <w:rPr>
                <w:rFonts w:ascii="仿宋_GB2312" w:eastAsia="仿宋_GB2312" w:hAnsi="仿宋_GB2312" w:cs="仿宋_GB2312"/>
                <w:sz w:val="24"/>
              </w:rPr>
            </w:pPr>
          </w:p>
        </w:tc>
        <w:tc>
          <w:tcPr>
            <w:tcW w:w="810" w:type="dxa"/>
            <w:vMerge/>
            <w:vAlign w:val="center"/>
          </w:tcPr>
          <w:p w:rsidR="00EB5C08" w:rsidRDefault="00EB5C08">
            <w:pPr>
              <w:jc w:val="center"/>
              <w:rPr>
                <w:rFonts w:ascii="仿宋_GB2312" w:eastAsia="仿宋_GB2312" w:hAnsi="仿宋_GB2312" w:cs="仿宋_GB2312"/>
                <w:sz w:val="24"/>
              </w:rPr>
            </w:pPr>
          </w:p>
        </w:tc>
        <w:tc>
          <w:tcPr>
            <w:tcW w:w="4590" w:type="dxa"/>
            <w:vMerge/>
            <w:vAlign w:val="center"/>
          </w:tcPr>
          <w:p w:rsidR="00EB5C08" w:rsidRDefault="00EB5C08">
            <w:pPr>
              <w:jc w:val="left"/>
              <w:rPr>
                <w:rFonts w:ascii="仿宋_GB2312" w:eastAsia="仿宋_GB2312" w:hAnsi="仿宋_GB2312" w:cs="仿宋_GB2312"/>
                <w:sz w:val="24"/>
              </w:rPr>
            </w:pPr>
          </w:p>
        </w:tc>
        <w:tc>
          <w:tcPr>
            <w:tcW w:w="1030" w:type="dxa"/>
            <w:vAlign w:val="center"/>
          </w:tcPr>
          <w:p w:rsidR="00EB5C08" w:rsidRDefault="00B96EE6">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得分</w:t>
            </w:r>
          </w:p>
        </w:tc>
        <w:tc>
          <w:tcPr>
            <w:tcW w:w="1890" w:type="dxa"/>
            <w:vAlign w:val="center"/>
          </w:tcPr>
          <w:p w:rsidR="00EB5C08" w:rsidRDefault="00B96EE6">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加权得分</w:t>
            </w:r>
          </w:p>
        </w:tc>
      </w:tr>
      <w:tr w:rsidR="00EB5C08">
        <w:tc>
          <w:tcPr>
            <w:tcW w:w="1830" w:type="dxa"/>
            <w:vMerge w:val="restart"/>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专业（类）人才培养目标</w:t>
            </w:r>
          </w:p>
        </w:tc>
        <w:tc>
          <w:tcPr>
            <w:tcW w:w="870" w:type="dxa"/>
            <w:vMerge w:val="restart"/>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79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服务北京与行业情况</w:t>
            </w: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30%</w:t>
            </w:r>
          </w:p>
        </w:tc>
        <w:tc>
          <w:tcPr>
            <w:tcW w:w="4590" w:type="dxa"/>
            <w:vAlign w:val="center"/>
          </w:tcPr>
          <w:p w:rsidR="00EB5C08" w:rsidRDefault="00B96EE6">
            <w:pPr>
              <w:jc w:val="left"/>
              <w:rPr>
                <w:rFonts w:ascii="仿宋_GB2312" w:eastAsia="仿宋_GB2312" w:hAnsi="仿宋_GB2312" w:cs="仿宋_GB2312"/>
                <w:sz w:val="24"/>
              </w:rPr>
            </w:pPr>
            <w:r>
              <w:rPr>
                <w:rFonts w:ascii="仿宋_GB2312" w:eastAsia="仿宋_GB2312" w:hAnsi="仿宋_GB2312" w:cs="仿宋_GB2312" w:hint="eastAsia"/>
                <w:sz w:val="24"/>
              </w:rPr>
              <w:t>符合北京市“四个中心建设”定位，服务行业转型升级情况。强：100分，一般：80分，弱：60，不符合：0分。</w:t>
            </w: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c>
          <w:tcPr>
            <w:tcW w:w="1830" w:type="dxa"/>
            <w:vMerge/>
            <w:vAlign w:val="center"/>
          </w:tcPr>
          <w:p w:rsidR="00EB5C08" w:rsidRDefault="00EB5C08">
            <w:pPr>
              <w:jc w:val="center"/>
              <w:rPr>
                <w:rFonts w:ascii="仿宋_GB2312" w:eastAsia="仿宋_GB2312" w:hAnsi="仿宋_GB2312" w:cs="仿宋_GB2312"/>
                <w:sz w:val="24"/>
              </w:rPr>
            </w:pPr>
          </w:p>
        </w:tc>
        <w:tc>
          <w:tcPr>
            <w:tcW w:w="870" w:type="dxa"/>
            <w:vMerge/>
            <w:vAlign w:val="center"/>
          </w:tcPr>
          <w:p w:rsidR="00EB5C08" w:rsidRDefault="00EB5C08">
            <w:pPr>
              <w:jc w:val="center"/>
              <w:rPr>
                <w:rFonts w:ascii="仿宋_GB2312" w:eastAsia="仿宋_GB2312" w:hAnsi="仿宋_GB2312" w:cs="仿宋_GB2312"/>
                <w:sz w:val="24"/>
              </w:rPr>
            </w:pPr>
          </w:p>
        </w:tc>
        <w:tc>
          <w:tcPr>
            <w:tcW w:w="279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学科贡献情况</w:t>
            </w: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35%</w:t>
            </w:r>
          </w:p>
        </w:tc>
        <w:tc>
          <w:tcPr>
            <w:tcW w:w="4590" w:type="dxa"/>
            <w:vAlign w:val="center"/>
          </w:tcPr>
          <w:p w:rsidR="00EB5C08" w:rsidRDefault="00B96EE6">
            <w:pPr>
              <w:jc w:val="left"/>
              <w:rPr>
                <w:rFonts w:ascii="仿宋_GB2312" w:eastAsia="仿宋_GB2312" w:hAnsi="仿宋_GB2312" w:cs="仿宋_GB2312"/>
                <w:sz w:val="24"/>
              </w:rPr>
            </w:pPr>
            <w:r>
              <w:rPr>
                <w:rFonts w:ascii="仿宋_GB2312" w:eastAsia="仿宋_GB2312" w:hAnsi="仿宋_GB2312" w:cs="仿宋_GB2312" w:hint="eastAsia"/>
                <w:sz w:val="24"/>
              </w:rPr>
              <w:t>专业（类）人才培养对学科建设的贡献支撑情况。重大贡献：100×学科评级得分，较大贡献80×学科评级得分，一般贡献60×学科评级得分。（学科评级（国家）得分情况：A+：100分，A：95，A-:：90分，B+：85分,B：80分，B-：75分，C+：70分，C：65分，C-：60分，D：55分）。</w:t>
            </w: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c>
          <w:tcPr>
            <w:tcW w:w="1830" w:type="dxa"/>
            <w:vMerge/>
            <w:vAlign w:val="center"/>
          </w:tcPr>
          <w:p w:rsidR="00EB5C08" w:rsidRDefault="00EB5C08">
            <w:pPr>
              <w:jc w:val="center"/>
              <w:rPr>
                <w:rFonts w:ascii="仿宋_GB2312" w:eastAsia="仿宋_GB2312" w:hAnsi="仿宋_GB2312" w:cs="仿宋_GB2312"/>
                <w:sz w:val="24"/>
              </w:rPr>
            </w:pPr>
          </w:p>
        </w:tc>
        <w:tc>
          <w:tcPr>
            <w:tcW w:w="870" w:type="dxa"/>
            <w:vMerge/>
            <w:vAlign w:val="center"/>
          </w:tcPr>
          <w:p w:rsidR="00EB5C08" w:rsidRDefault="00EB5C08">
            <w:pPr>
              <w:jc w:val="center"/>
              <w:rPr>
                <w:rFonts w:ascii="仿宋_GB2312" w:eastAsia="仿宋_GB2312" w:hAnsi="仿宋_GB2312" w:cs="仿宋_GB2312"/>
                <w:sz w:val="24"/>
              </w:rPr>
            </w:pPr>
          </w:p>
        </w:tc>
        <w:tc>
          <w:tcPr>
            <w:tcW w:w="279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培养目标完成情况</w:t>
            </w: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35%</w:t>
            </w:r>
          </w:p>
        </w:tc>
        <w:tc>
          <w:tcPr>
            <w:tcW w:w="4590" w:type="dxa"/>
            <w:vAlign w:val="center"/>
          </w:tcPr>
          <w:p w:rsidR="00EB5C08" w:rsidRDefault="00B96EE6">
            <w:pPr>
              <w:jc w:val="left"/>
              <w:rPr>
                <w:rFonts w:ascii="仿宋_GB2312" w:eastAsia="仿宋_GB2312" w:hAnsi="仿宋_GB2312" w:cs="仿宋_GB2312"/>
                <w:sz w:val="24"/>
              </w:rPr>
            </w:pPr>
            <w:r>
              <w:rPr>
                <w:rFonts w:ascii="仿宋_GB2312" w:eastAsia="仿宋_GB2312" w:hAnsi="仿宋_GB2312" w:cs="仿宋_GB2312" w:hint="eastAsia"/>
                <w:sz w:val="24"/>
              </w:rPr>
              <w:t>专业（类）人才培养目标完成情况：目标明确，完成目标，毕业生对社会贡献突出：100分；目标明确，基本完成目标，毕业生对社会贡献较大：80分；目标较明确，基本完成目标：60分。</w:t>
            </w: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c>
          <w:tcPr>
            <w:tcW w:w="183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小计</w:t>
            </w:r>
          </w:p>
        </w:tc>
        <w:tc>
          <w:tcPr>
            <w:tcW w:w="870" w:type="dxa"/>
            <w:vAlign w:val="center"/>
          </w:tcPr>
          <w:p w:rsidR="00EB5C08" w:rsidRDefault="00EB5C08">
            <w:pPr>
              <w:jc w:val="center"/>
              <w:rPr>
                <w:rFonts w:ascii="仿宋_GB2312" w:eastAsia="仿宋_GB2312" w:hAnsi="仿宋_GB2312" w:cs="仿宋_GB2312"/>
                <w:sz w:val="24"/>
              </w:rPr>
            </w:pPr>
          </w:p>
        </w:tc>
        <w:tc>
          <w:tcPr>
            <w:tcW w:w="2790" w:type="dxa"/>
            <w:vAlign w:val="center"/>
          </w:tcPr>
          <w:p w:rsidR="00EB5C08" w:rsidRDefault="00EB5C08">
            <w:pPr>
              <w:jc w:val="center"/>
              <w:rPr>
                <w:rFonts w:ascii="仿宋_GB2312" w:eastAsia="仿宋_GB2312" w:hAnsi="仿宋_GB2312" w:cs="仿宋_GB2312"/>
                <w:sz w:val="24"/>
              </w:rPr>
            </w:pP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4590" w:type="dxa"/>
            <w:vAlign w:val="center"/>
          </w:tcPr>
          <w:p w:rsidR="00EB5C08" w:rsidRDefault="00EB5C08">
            <w:pPr>
              <w:jc w:val="left"/>
              <w:rPr>
                <w:rFonts w:ascii="仿宋_GB2312" w:eastAsia="仿宋_GB2312" w:hAnsi="仿宋_GB2312" w:cs="仿宋_GB2312"/>
                <w:sz w:val="24"/>
              </w:rPr>
            </w:pP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c>
          <w:tcPr>
            <w:tcW w:w="1830" w:type="dxa"/>
            <w:vMerge w:val="restart"/>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专业（类）人才培养核心竞争力</w:t>
            </w:r>
          </w:p>
        </w:tc>
        <w:tc>
          <w:tcPr>
            <w:tcW w:w="870" w:type="dxa"/>
            <w:vMerge w:val="restart"/>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279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四级通过率</w:t>
            </w: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30%</w:t>
            </w:r>
          </w:p>
        </w:tc>
        <w:tc>
          <w:tcPr>
            <w:tcW w:w="4590" w:type="dxa"/>
            <w:vAlign w:val="center"/>
          </w:tcPr>
          <w:p w:rsidR="00EB5C08" w:rsidRDefault="00B96EE6">
            <w:pPr>
              <w:jc w:val="left"/>
              <w:rPr>
                <w:rFonts w:ascii="仿宋_GB2312" w:eastAsia="仿宋_GB2312" w:hAnsi="仿宋_GB2312" w:cs="仿宋_GB2312"/>
                <w:sz w:val="24"/>
              </w:rPr>
            </w:pPr>
            <w:r>
              <w:rPr>
                <w:rFonts w:ascii="仿宋_GB2312" w:eastAsia="仿宋_GB2312" w:hAnsi="仿宋_GB2312" w:cs="仿宋_GB2312" w:hint="eastAsia"/>
                <w:sz w:val="24"/>
              </w:rPr>
              <w:t>50%（艺术类25%）为60分，每增加1个百分点加1分，每减少1个百分点扣除2分。</w:t>
            </w: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c>
          <w:tcPr>
            <w:tcW w:w="1830" w:type="dxa"/>
            <w:vMerge/>
            <w:vAlign w:val="center"/>
          </w:tcPr>
          <w:p w:rsidR="00EB5C08" w:rsidRDefault="00EB5C08">
            <w:pPr>
              <w:jc w:val="center"/>
              <w:rPr>
                <w:rFonts w:ascii="仿宋_GB2312" w:eastAsia="仿宋_GB2312" w:hAnsi="仿宋_GB2312" w:cs="仿宋_GB2312"/>
                <w:sz w:val="24"/>
              </w:rPr>
            </w:pPr>
          </w:p>
        </w:tc>
        <w:tc>
          <w:tcPr>
            <w:tcW w:w="870" w:type="dxa"/>
            <w:vMerge/>
            <w:vAlign w:val="center"/>
          </w:tcPr>
          <w:p w:rsidR="00EB5C08" w:rsidRDefault="00EB5C08">
            <w:pPr>
              <w:jc w:val="center"/>
              <w:rPr>
                <w:rFonts w:ascii="仿宋_GB2312" w:eastAsia="仿宋_GB2312" w:hAnsi="仿宋_GB2312" w:cs="仿宋_GB2312"/>
                <w:sz w:val="24"/>
              </w:rPr>
            </w:pPr>
          </w:p>
        </w:tc>
        <w:tc>
          <w:tcPr>
            <w:tcW w:w="279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六级通过率</w:t>
            </w: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4590" w:type="dxa"/>
            <w:vAlign w:val="center"/>
          </w:tcPr>
          <w:p w:rsidR="00EB5C08" w:rsidRDefault="00B96EE6">
            <w:pPr>
              <w:jc w:val="left"/>
              <w:rPr>
                <w:rFonts w:ascii="仿宋_GB2312" w:eastAsia="仿宋_GB2312" w:hAnsi="仿宋_GB2312" w:cs="仿宋_GB2312"/>
                <w:sz w:val="24"/>
              </w:rPr>
            </w:pPr>
            <w:r>
              <w:rPr>
                <w:rFonts w:ascii="仿宋_GB2312" w:eastAsia="仿宋_GB2312" w:hAnsi="仿宋_GB2312" w:cs="仿宋_GB2312" w:hint="eastAsia"/>
                <w:sz w:val="24"/>
              </w:rPr>
              <w:t>35%（艺术类10%）为60分，每增加1个百分点加1分，每减少1个百分点扣除2分。</w:t>
            </w: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c>
          <w:tcPr>
            <w:tcW w:w="1830" w:type="dxa"/>
            <w:vMerge/>
            <w:vAlign w:val="center"/>
          </w:tcPr>
          <w:p w:rsidR="00EB5C08" w:rsidRDefault="00EB5C08">
            <w:pPr>
              <w:jc w:val="center"/>
              <w:rPr>
                <w:rFonts w:ascii="仿宋_GB2312" w:eastAsia="仿宋_GB2312" w:hAnsi="仿宋_GB2312" w:cs="仿宋_GB2312"/>
                <w:sz w:val="24"/>
              </w:rPr>
            </w:pPr>
          </w:p>
        </w:tc>
        <w:tc>
          <w:tcPr>
            <w:tcW w:w="870" w:type="dxa"/>
            <w:vMerge/>
            <w:vAlign w:val="center"/>
          </w:tcPr>
          <w:p w:rsidR="00EB5C08" w:rsidRDefault="00EB5C08">
            <w:pPr>
              <w:jc w:val="center"/>
              <w:rPr>
                <w:rFonts w:ascii="仿宋_GB2312" w:eastAsia="仿宋_GB2312" w:hAnsi="仿宋_GB2312" w:cs="仿宋_GB2312"/>
                <w:sz w:val="24"/>
              </w:rPr>
            </w:pPr>
          </w:p>
        </w:tc>
        <w:tc>
          <w:tcPr>
            <w:tcW w:w="279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毕业生毕业率</w:t>
            </w: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4590" w:type="dxa"/>
            <w:vAlign w:val="center"/>
          </w:tcPr>
          <w:p w:rsidR="00EB5C08" w:rsidRDefault="00B96EE6">
            <w:pPr>
              <w:jc w:val="left"/>
              <w:rPr>
                <w:rFonts w:ascii="仿宋_GB2312" w:eastAsia="仿宋_GB2312" w:hAnsi="仿宋_GB2312" w:cs="仿宋_GB2312"/>
                <w:sz w:val="24"/>
              </w:rPr>
            </w:pPr>
            <w:r>
              <w:rPr>
                <w:rFonts w:ascii="仿宋_GB2312" w:eastAsia="仿宋_GB2312" w:hAnsi="仿宋_GB2312" w:cs="仿宋_GB2312" w:hint="eastAsia"/>
                <w:sz w:val="24"/>
              </w:rPr>
              <w:t>每增加1个百分点增加1分。</w:t>
            </w: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c>
          <w:tcPr>
            <w:tcW w:w="1830" w:type="dxa"/>
            <w:vMerge/>
            <w:vAlign w:val="center"/>
          </w:tcPr>
          <w:p w:rsidR="00EB5C08" w:rsidRDefault="00EB5C08">
            <w:pPr>
              <w:jc w:val="center"/>
              <w:rPr>
                <w:rFonts w:ascii="仿宋_GB2312" w:eastAsia="仿宋_GB2312" w:hAnsi="仿宋_GB2312" w:cs="仿宋_GB2312"/>
                <w:sz w:val="24"/>
              </w:rPr>
            </w:pPr>
          </w:p>
        </w:tc>
        <w:tc>
          <w:tcPr>
            <w:tcW w:w="870" w:type="dxa"/>
            <w:vMerge/>
            <w:vAlign w:val="center"/>
          </w:tcPr>
          <w:p w:rsidR="00EB5C08" w:rsidRDefault="00EB5C08">
            <w:pPr>
              <w:jc w:val="center"/>
              <w:rPr>
                <w:rFonts w:ascii="仿宋_GB2312" w:eastAsia="仿宋_GB2312" w:hAnsi="仿宋_GB2312" w:cs="仿宋_GB2312"/>
                <w:sz w:val="24"/>
              </w:rPr>
            </w:pPr>
          </w:p>
        </w:tc>
        <w:tc>
          <w:tcPr>
            <w:tcW w:w="279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一流学科情况</w:t>
            </w: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4590" w:type="dxa"/>
            <w:vAlign w:val="center"/>
          </w:tcPr>
          <w:p w:rsidR="00EB5C08" w:rsidRDefault="00B96EE6">
            <w:pPr>
              <w:jc w:val="left"/>
              <w:rPr>
                <w:rFonts w:ascii="仿宋_GB2312" w:eastAsia="仿宋_GB2312" w:hAnsi="仿宋_GB2312" w:cs="仿宋_GB2312"/>
                <w:sz w:val="24"/>
              </w:rPr>
            </w:pPr>
            <w:r>
              <w:rPr>
                <w:rFonts w:ascii="仿宋_GB2312" w:eastAsia="仿宋_GB2312" w:hAnsi="仿宋_GB2312" w:cs="仿宋_GB2312" w:hint="eastAsia"/>
                <w:sz w:val="24"/>
              </w:rPr>
              <w:t>国家级一流专业100分，北京市级一流专业90分。</w:t>
            </w: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c>
          <w:tcPr>
            <w:tcW w:w="1830" w:type="dxa"/>
            <w:vMerge/>
            <w:vAlign w:val="center"/>
          </w:tcPr>
          <w:p w:rsidR="00EB5C08" w:rsidRDefault="00EB5C08">
            <w:pPr>
              <w:jc w:val="center"/>
              <w:rPr>
                <w:rFonts w:ascii="仿宋_GB2312" w:eastAsia="仿宋_GB2312" w:hAnsi="仿宋_GB2312" w:cs="仿宋_GB2312"/>
                <w:sz w:val="24"/>
              </w:rPr>
            </w:pPr>
          </w:p>
        </w:tc>
        <w:tc>
          <w:tcPr>
            <w:tcW w:w="870" w:type="dxa"/>
            <w:vMerge/>
            <w:vAlign w:val="center"/>
          </w:tcPr>
          <w:p w:rsidR="00EB5C08" w:rsidRDefault="00EB5C08">
            <w:pPr>
              <w:jc w:val="center"/>
              <w:rPr>
                <w:rFonts w:ascii="仿宋_GB2312" w:eastAsia="仿宋_GB2312" w:hAnsi="仿宋_GB2312" w:cs="仿宋_GB2312"/>
                <w:sz w:val="24"/>
              </w:rPr>
            </w:pPr>
          </w:p>
        </w:tc>
        <w:tc>
          <w:tcPr>
            <w:tcW w:w="279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对教师的认可度（毕业生调查）</w:t>
            </w: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4590" w:type="dxa"/>
            <w:vAlign w:val="center"/>
          </w:tcPr>
          <w:p w:rsidR="00EB5C08" w:rsidRDefault="00B96EE6">
            <w:pPr>
              <w:jc w:val="left"/>
              <w:rPr>
                <w:rFonts w:ascii="仿宋_GB2312" w:eastAsia="仿宋_GB2312" w:hAnsi="仿宋_GB2312" w:cs="仿宋_GB2312"/>
                <w:sz w:val="24"/>
              </w:rPr>
            </w:pPr>
            <w:r>
              <w:rPr>
                <w:rFonts w:ascii="仿宋_GB2312" w:eastAsia="仿宋_GB2312" w:hAnsi="仿宋_GB2312" w:cs="仿宋_GB2312" w:hint="eastAsia"/>
                <w:sz w:val="24"/>
              </w:rPr>
              <w:t>每增加1个百分点增加1分。</w:t>
            </w: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c>
          <w:tcPr>
            <w:tcW w:w="1830" w:type="dxa"/>
            <w:vMerge/>
            <w:vAlign w:val="center"/>
          </w:tcPr>
          <w:p w:rsidR="00EB5C08" w:rsidRDefault="00EB5C08">
            <w:pPr>
              <w:jc w:val="center"/>
              <w:rPr>
                <w:rFonts w:ascii="仿宋_GB2312" w:eastAsia="仿宋_GB2312" w:hAnsi="仿宋_GB2312" w:cs="仿宋_GB2312"/>
                <w:sz w:val="24"/>
              </w:rPr>
            </w:pPr>
          </w:p>
        </w:tc>
        <w:tc>
          <w:tcPr>
            <w:tcW w:w="870" w:type="dxa"/>
            <w:vMerge/>
            <w:vAlign w:val="center"/>
          </w:tcPr>
          <w:p w:rsidR="00EB5C08" w:rsidRDefault="00EB5C08">
            <w:pPr>
              <w:jc w:val="center"/>
              <w:rPr>
                <w:rFonts w:ascii="仿宋_GB2312" w:eastAsia="仿宋_GB2312" w:hAnsi="仿宋_GB2312" w:cs="仿宋_GB2312"/>
                <w:sz w:val="24"/>
              </w:rPr>
            </w:pPr>
          </w:p>
        </w:tc>
        <w:tc>
          <w:tcPr>
            <w:tcW w:w="279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竞赛获奖情况</w:t>
            </w: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4590" w:type="dxa"/>
            <w:vAlign w:val="center"/>
          </w:tcPr>
          <w:p w:rsidR="00EB5C08" w:rsidRDefault="00B96EE6">
            <w:pPr>
              <w:jc w:val="left"/>
              <w:rPr>
                <w:rFonts w:ascii="仿宋_GB2312" w:eastAsia="仿宋_GB2312" w:hAnsi="仿宋_GB2312" w:cs="仿宋_GB2312"/>
                <w:sz w:val="24"/>
              </w:rPr>
            </w:pPr>
            <w:r>
              <w:rPr>
                <w:rFonts w:ascii="仿宋_GB2312" w:eastAsia="仿宋_GB2312" w:hAnsi="仿宋_GB2312" w:cs="仿宋_GB2312" w:hint="eastAsia"/>
                <w:sz w:val="24"/>
              </w:rPr>
              <w:t>获校级科技、专业类竞赛奖人均比例1%为20分，每增加1个百分点加5分，市级以上获奖每项可加30分；最高100分。</w:t>
            </w: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c>
          <w:tcPr>
            <w:tcW w:w="183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小计</w:t>
            </w:r>
          </w:p>
        </w:tc>
        <w:tc>
          <w:tcPr>
            <w:tcW w:w="870" w:type="dxa"/>
            <w:vAlign w:val="center"/>
          </w:tcPr>
          <w:p w:rsidR="00EB5C08" w:rsidRDefault="00EB5C08">
            <w:pPr>
              <w:jc w:val="center"/>
              <w:rPr>
                <w:rFonts w:ascii="仿宋_GB2312" w:eastAsia="仿宋_GB2312" w:hAnsi="仿宋_GB2312" w:cs="仿宋_GB2312"/>
                <w:sz w:val="24"/>
              </w:rPr>
            </w:pPr>
          </w:p>
        </w:tc>
        <w:tc>
          <w:tcPr>
            <w:tcW w:w="2790" w:type="dxa"/>
            <w:vAlign w:val="center"/>
          </w:tcPr>
          <w:p w:rsidR="00EB5C08" w:rsidRDefault="00EB5C08">
            <w:pPr>
              <w:jc w:val="center"/>
              <w:rPr>
                <w:rFonts w:ascii="仿宋_GB2312" w:eastAsia="仿宋_GB2312" w:hAnsi="仿宋_GB2312" w:cs="仿宋_GB2312"/>
                <w:sz w:val="24"/>
              </w:rPr>
            </w:pP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4590" w:type="dxa"/>
            <w:vAlign w:val="center"/>
          </w:tcPr>
          <w:p w:rsidR="00EB5C08" w:rsidRDefault="00EB5C08">
            <w:pPr>
              <w:jc w:val="left"/>
              <w:rPr>
                <w:rFonts w:ascii="仿宋_GB2312" w:eastAsia="仿宋_GB2312" w:hAnsi="仿宋_GB2312" w:cs="仿宋_GB2312"/>
                <w:sz w:val="24"/>
              </w:rPr>
            </w:pP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rPr>
          <w:trHeight w:val="272"/>
        </w:trPr>
        <w:tc>
          <w:tcPr>
            <w:tcW w:w="1830" w:type="dxa"/>
            <w:vMerge w:val="restart"/>
            <w:vAlign w:val="center"/>
          </w:tcPr>
          <w:p w:rsidR="00EB5C08" w:rsidRDefault="00EB5C08">
            <w:pPr>
              <w:jc w:val="center"/>
              <w:rPr>
                <w:rFonts w:ascii="仿宋_GB2312" w:eastAsia="仿宋_GB2312" w:hAnsi="仿宋_GB2312" w:cs="仿宋_GB2312"/>
                <w:sz w:val="24"/>
              </w:rPr>
            </w:pPr>
          </w:p>
          <w:p w:rsidR="00EB5C08" w:rsidRDefault="00EB5C08">
            <w:pPr>
              <w:jc w:val="center"/>
              <w:rPr>
                <w:rFonts w:ascii="仿宋_GB2312" w:eastAsia="仿宋_GB2312" w:hAnsi="仿宋_GB2312" w:cs="仿宋_GB2312"/>
                <w:sz w:val="24"/>
              </w:rPr>
            </w:pPr>
          </w:p>
          <w:p w:rsidR="00EB5C08" w:rsidRDefault="00EB5C08">
            <w:pPr>
              <w:jc w:val="center"/>
              <w:rPr>
                <w:rFonts w:ascii="仿宋_GB2312" w:eastAsia="仿宋_GB2312" w:hAnsi="仿宋_GB2312" w:cs="仿宋_GB2312"/>
                <w:sz w:val="24"/>
              </w:rPr>
            </w:pPr>
          </w:p>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专业（类）人才需求情况</w:t>
            </w:r>
          </w:p>
        </w:tc>
        <w:tc>
          <w:tcPr>
            <w:tcW w:w="870" w:type="dxa"/>
            <w:vMerge w:val="restart"/>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30%</w:t>
            </w:r>
          </w:p>
        </w:tc>
        <w:tc>
          <w:tcPr>
            <w:tcW w:w="279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第一志愿录取率</w:t>
            </w: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4590" w:type="dxa"/>
            <w:vAlign w:val="center"/>
          </w:tcPr>
          <w:p w:rsidR="00EB5C08" w:rsidRDefault="00B96EE6">
            <w:pPr>
              <w:jc w:val="left"/>
              <w:rPr>
                <w:rFonts w:ascii="仿宋_GB2312" w:eastAsia="仿宋_GB2312" w:hAnsi="仿宋_GB2312" w:cs="仿宋_GB2312"/>
                <w:sz w:val="24"/>
              </w:rPr>
            </w:pPr>
            <w:r>
              <w:rPr>
                <w:rFonts w:ascii="仿宋_GB2312" w:eastAsia="仿宋_GB2312" w:hAnsi="仿宋_GB2312" w:cs="仿宋_GB2312" w:hint="eastAsia"/>
                <w:sz w:val="24"/>
              </w:rPr>
              <w:t>每增加1个百分点加1分。</w:t>
            </w: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rPr>
          <w:trHeight w:val="569"/>
        </w:trPr>
        <w:tc>
          <w:tcPr>
            <w:tcW w:w="1830" w:type="dxa"/>
            <w:vMerge/>
            <w:vAlign w:val="center"/>
          </w:tcPr>
          <w:p w:rsidR="00EB5C08" w:rsidRDefault="00EB5C08">
            <w:pPr>
              <w:jc w:val="center"/>
              <w:rPr>
                <w:rFonts w:ascii="仿宋_GB2312" w:eastAsia="仿宋_GB2312" w:hAnsi="仿宋_GB2312" w:cs="仿宋_GB2312"/>
                <w:sz w:val="24"/>
              </w:rPr>
            </w:pPr>
          </w:p>
        </w:tc>
        <w:tc>
          <w:tcPr>
            <w:tcW w:w="870" w:type="dxa"/>
            <w:vMerge/>
            <w:vAlign w:val="center"/>
          </w:tcPr>
          <w:p w:rsidR="00EB5C08" w:rsidRDefault="00EB5C08">
            <w:pPr>
              <w:jc w:val="center"/>
              <w:rPr>
                <w:rFonts w:ascii="仿宋_GB2312" w:eastAsia="仿宋_GB2312" w:hAnsi="仿宋_GB2312" w:cs="仿宋_GB2312"/>
                <w:sz w:val="24"/>
              </w:rPr>
            </w:pPr>
          </w:p>
        </w:tc>
        <w:tc>
          <w:tcPr>
            <w:tcW w:w="279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录取位次情况</w:t>
            </w: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4590" w:type="dxa"/>
            <w:vAlign w:val="center"/>
          </w:tcPr>
          <w:p w:rsidR="00EB5C08" w:rsidRDefault="00B96EE6">
            <w:pPr>
              <w:jc w:val="left"/>
              <w:rPr>
                <w:rFonts w:ascii="仿宋_GB2312" w:eastAsia="仿宋_GB2312" w:hAnsi="仿宋_GB2312" w:cs="仿宋_GB2312"/>
                <w:sz w:val="24"/>
              </w:rPr>
            </w:pPr>
            <w:r>
              <w:rPr>
                <w:rFonts w:ascii="仿宋_GB2312" w:eastAsia="仿宋_GB2312" w:hAnsi="仿宋_GB2312" w:cs="仿宋_GB2312" w:hint="eastAsia"/>
                <w:sz w:val="24"/>
              </w:rPr>
              <w:t>外地录取位次占比基数为20%，北京位次占比基数为40%；每个外省市录取位次上升一个百分点加3分，北京市录取位次上升一个百分点加10分。满分100分。</w:t>
            </w: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c>
          <w:tcPr>
            <w:tcW w:w="1830" w:type="dxa"/>
            <w:vMerge/>
            <w:vAlign w:val="center"/>
          </w:tcPr>
          <w:p w:rsidR="00EB5C08" w:rsidRDefault="00EB5C08">
            <w:pPr>
              <w:jc w:val="center"/>
              <w:rPr>
                <w:rFonts w:ascii="仿宋_GB2312" w:eastAsia="仿宋_GB2312" w:hAnsi="仿宋_GB2312" w:cs="仿宋_GB2312"/>
                <w:sz w:val="24"/>
              </w:rPr>
            </w:pPr>
          </w:p>
        </w:tc>
        <w:tc>
          <w:tcPr>
            <w:tcW w:w="870" w:type="dxa"/>
            <w:vMerge/>
            <w:vAlign w:val="center"/>
          </w:tcPr>
          <w:p w:rsidR="00EB5C08" w:rsidRDefault="00EB5C08">
            <w:pPr>
              <w:jc w:val="center"/>
              <w:rPr>
                <w:rFonts w:ascii="仿宋_GB2312" w:eastAsia="仿宋_GB2312" w:hAnsi="仿宋_GB2312" w:cs="仿宋_GB2312"/>
                <w:sz w:val="24"/>
              </w:rPr>
            </w:pPr>
          </w:p>
        </w:tc>
        <w:tc>
          <w:tcPr>
            <w:tcW w:w="279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毕业生对社会需求情况的调查（毕业生调查）</w:t>
            </w: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4590" w:type="dxa"/>
            <w:vAlign w:val="center"/>
          </w:tcPr>
          <w:p w:rsidR="00EB5C08" w:rsidRDefault="00B96EE6">
            <w:pPr>
              <w:jc w:val="left"/>
              <w:rPr>
                <w:rFonts w:ascii="仿宋_GB2312" w:eastAsia="仿宋_GB2312" w:hAnsi="仿宋_GB2312" w:cs="仿宋_GB2312"/>
                <w:sz w:val="24"/>
              </w:rPr>
            </w:pPr>
            <w:r>
              <w:rPr>
                <w:rFonts w:ascii="仿宋_GB2312" w:eastAsia="仿宋_GB2312" w:hAnsi="仿宋_GB2312" w:cs="仿宋_GB2312" w:hint="eastAsia"/>
                <w:sz w:val="24"/>
              </w:rPr>
              <w:t>有需求的比例每增加1个百分点增加1分。</w:t>
            </w: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c>
          <w:tcPr>
            <w:tcW w:w="1830" w:type="dxa"/>
            <w:vMerge/>
            <w:vAlign w:val="center"/>
          </w:tcPr>
          <w:p w:rsidR="00EB5C08" w:rsidRDefault="00EB5C08">
            <w:pPr>
              <w:jc w:val="center"/>
              <w:rPr>
                <w:rFonts w:ascii="仿宋_GB2312" w:eastAsia="仿宋_GB2312" w:hAnsi="仿宋_GB2312" w:cs="仿宋_GB2312"/>
                <w:sz w:val="24"/>
              </w:rPr>
            </w:pPr>
          </w:p>
        </w:tc>
        <w:tc>
          <w:tcPr>
            <w:tcW w:w="870" w:type="dxa"/>
            <w:vMerge/>
            <w:vAlign w:val="center"/>
          </w:tcPr>
          <w:p w:rsidR="00EB5C08" w:rsidRDefault="00EB5C08">
            <w:pPr>
              <w:jc w:val="center"/>
              <w:rPr>
                <w:rFonts w:ascii="仿宋_GB2312" w:eastAsia="仿宋_GB2312" w:hAnsi="仿宋_GB2312" w:cs="仿宋_GB2312"/>
                <w:sz w:val="24"/>
              </w:rPr>
            </w:pPr>
          </w:p>
        </w:tc>
        <w:tc>
          <w:tcPr>
            <w:tcW w:w="279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本专业举办校园招聘会的情况</w:t>
            </w: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4590" w:type="dxa"/>
            <w:vAlign w:val="center"/>
          </w:tcPr>
          <w:p w:rsidR="00EB5C08" w:rsidRDefault="00B96EE6">
            <w:pPr>
              <w:jc w:val="left"/>
              <w:rPr>
                <w:rFonts w:ascii="仿宋_GB2312" w:eastAsia="仿宋_GB2312" w:hAnsi="仿宋_GB2312" w:cs="仿宋_GB2312"/>
                <w:sz w:val="24"/>
              </w:rPr>
            </w:pPr>
            <w:r>
              <w:rPr>
                <w:rFonts w:ascii="仿宋_GB2312" w:eastAsia="仿宋_GB2312" w:hAnsi="仿宋_GB2312" w:cs="仿宋_GB2312" w:hint="eastAsia"/>
                <w:sz w:val="24"/>
              </w:rPr>
              <w:t>1家单位入校招聘为10分，每增加1家单位增加10分。（单位须为本专业需求相关单位，500强企业1家单位加20分）</w:t>
            </w: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c>
          <w:tcPr>
            <w:tcW w:w="1830" w:type="dxa"/>
            <w:vMerge/>
            <w:vAlign w:val="center"/>
          </w:tcPr>
          <w:p w:rsidR="00EB5C08" w:rsidRDefault="00EB5C08">
            <w:pPr>
              <w:jc w:val="center"/>
              <w:rPr>
                <w:rFonts w:ascii="仿宋_GB2312" w:eastAsia="仿宋_GB2312" w:hAnsi="仿宋_GB2312" w:cs="仿宋_GB2312"/>
                <w:sz w:val="24"/>
              </w:rPr>
            </w:pPr>
          </w:p>
        </w:tc>
        <w:tc>
          <w:tcPr>
            <w:tcW w:w="870" w:type="dxa"/>
            <w:vMerge/>
            <w:vAlign w:val="center"/>
          </w:tcPr>
          <w:p w:rsidR="00EB5C08" w:rsidRDefault="00EB5C08">
            <w:pPr>
              <w:jc w:val="center"/>
              <w:rPr>
                <w:rFonts w:ascii="仿宋_GB2312" w:eastAsia="仿宋_GB2312" w:hAnsi="仿宋_GB2312" w:cs="仿宋_GB2312"/>
                <w:sz w:val="24"/>
              </w:rPr>
            </w:pPr>
          </w:p>
        </w:tc>
        <w:tc>
          <w:tcPr>
            <w:tcW w:w="279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发布招聘岗位情况</w:t>
            </w: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4590" w:type="dxa"/>
            <w:vAlign w:val="center"/>
          </w:tcPr>
          <w:p w:rsidR="00EB5C08" w:rsidRDefault="00B96EE6">
            <w:pPr>
              <w:jc w:val="left"/>
              <w:rPr>
                <w:rFonts w:ascii="仿宋_GB2312" w:eastAsia="仿宋_GB2312" w:hAnsi="仿宋_GB2312" w:cs="仿宋_GB2312"/>
                <w:sz w:val="24"/>
              </w:rPr>
            </w:pPr>
            <w:r>
              <w:rPr>
                <w:rFonts w:ascii="仿宋_GB2312" w:eastAsia="仿宋_GB2312" w:hAnsi="仿宋_GB2312" w:cs="仿宋_GB2312" w:hint="eastAsia"/>
                <w:sz w:val="24"/>
              </w:rPr>
              <w:t>毕业生人数与发布招聘岗位的比例1:1为50分，每增加一倍增加10分。</w:t>
            </w: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rPr>
          <w:trHeight w:val="242"/>
        </w:trPr>
        <w:tc>
          <w:tcPr>
            <w:tcW w:w="1830" w:type="dxa"/>
            <w:vMerge/>
            <w:vAlign w:val="center"/>
          </w:tcPr>
          <w:p w:rsidR="00EB5C08" w:rsidRDefault="00EB5C08">
            <w:pPr>
              <w:jc w:val="center"/>
              <w:rPr>
                <w:rFonts w:ascii="仿宋_GB2312" w:eastAsia="仿宋_GB2312" w:hAnsi="仿宋_GB2312" w:cs="仿宋_GB2312"/>
                <w:sz w:val="24"/>
              </w:rPr>
            </w:pPr>
          </w:p>
        </w:tc>
        <w:tc>
          <w:tcPr>
            <w:tcW w:w="870" w:type="dxa"/>
            <w:vMerge/>
            <w:vAlign w:val="center"/>
          </w:tcPr>
          <w:p w:rsidR="00EB5C08" w:rsidRDefault="00EB5C08">
            <w:pPr>
              <w:jc w:val="center"/>
              <w:rPr>
                <w:rFonts w:ascii="仿宋_GB2312" w:eastAsia="仿宋_GB2312" w:hAnsi="仿宋_GB2312" w:cs="仿宋_GB2312"/>
                <w:sz w:val="24"/>
              </w:rPr>
            </w:pPr>
          </w:p>
        </w:tc>
        <w:tc>
          <w:tcPr>
            <w:tcW w:w="279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就业专业对口率（毕业生调查）</w:t>
            </w: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4590" w:type="dxa"/>
            <w:vAlign w:val="center"/>
          </w:tcPr>
          <w:p w:rsidR="00EB5C08" w:rsidRDefault="00B96EE6">
            <w:pPr>
              <w:jc w:val="left"/>
              <w:rPr>
                <w:rFonts w:ascii="仿宋_GB2312" w:eastAsia="仿宋_GB2312" w:hAnsi="仿宋_GB2312" w:cs="仿宋_GB2312"/>
                <w:sz w:val="24"/>
              </w:rPr>
            </w:pPr>
            <w:r>
              <w:rPr>
                <w:rFonts w:ascii="仿宋_GB2312" w:eastAsia="仿宋_GB2312" w:hAnsi="仿宋_GB2312" w:cs="仿宋_GB2312" w:hint="eastAsia"/>
                <w:sz w:val="24"/>
              </w:rPr>
              <w:t>基本对口率，每1个百分点加1分。</w:t>
            </w: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rPr>
          <w:trHeight w:val="182"/>
        </w:trPr>
        <w:tc>
          <w:tcPr>
            <w:tcW w:w="1830" w:type="dxa"/>
            <w:vMerge/>
            <w:vAlign w:val="center"/>
          </w:tcPr>
          <w:p w:rsidR="00EB5C08" w:rsidRDefault="00EB5C08">
            <w:pPr>
              <w:jc w:val="center"/>
              <w:rPr>
                <w:rFonts w:ascii="仿宋_GB2312" w:eastAsia="仿宋_GB2312" w:hAnsi="仿宋_GB2312" w:cs="仿宋_GB2312"/>
                <w:sz w:val="24"/>
              </w:rPr>
            </w:pPr>
          </w:p>
        </w:tc>
        <w:tc>
          <w:tcPr>
            <w:tcW w:w="870" w:type="dxa"/>
            <w:vMerge/>
            <w:vAlign w:val="center"/>
          </w:tcPr>
          <w:p w:rsidR="00EB5C08" w:rsidRDefault="00EB5C08">
            <w:pPr>
              <w:jc w:val="center"/>
              <w:rPr>
                <w:rFonts w:ascii="仿宋_GB2312" w:eastAsia="仿宋_GB2312" w:hAnsi="仿宋_GB2312" w:cs="仿宋_GB2312"/>
                <w:sz w:val="24"/>
              </w:rPr>
            </w:pPr>
          </w:p>
        </w:tc>
        <w:tc>
          <w:tcPr>
            <w:tcW w:w="279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北京市人保局公布的紧缺专业</w:t>
            </w: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590" w:type="dxa"/>
            <w:vAlign w:val="center"/>
          </w:tcPr>
          <w:p w:rsidR="00EB5C08" w:rsidRDefault="00B96EE6">
            <w:pPr>
              <w:jc w:val="left"/>
              <w:rPr>
                <w:rFonts w:ascii="仿宋_GB2312" w:eastAsia="仿宋_GB2312" w:hAnsi="仿宋_GB2312" w:cs="仿宋_GB2312"/>
                <w:sz w:val="24"/>
              </w:rPr>
            </w:pPr>
            <w:r>
              <w:rPr>
                <w:rFonts w:ascii="仿宋_GB2312" w:eastAsia="仿宋_GB2312" w:hAnsi="仿宋_GB2312" w:cs="仿宋_GB2312" w:hint="eastAsia"/>
                <w:sz w:val="24"/>
              </w:rPr>
              <w:t>是：100分</w:t>
            </w: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rPr>
          <w:trHeight w:val="212"/>
        </w:trPr>
        <w:tc>
          <w:tcPr>
            <w:tcW w:w="183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小计</w:t>
            </w:r>
          </w:p>
        </w:tc>
        <w:tc>
          <w:tcPr>
            <w:tcW w:w="870" w:type="dxa"/>
            <w:vAlign w:val="center"/>
          </w:tcPr>
          <w:p w:rsidR="00EB5C08" w:rsidRDefault="00EB5C08">
            <w:pPr>
              <w:jc w:val="center"/>
              <w:rPr>
                <w:rFonts w:ascii="仿宋_GB2312" w:eastAsia="仿宋_GB2312" w:hAnsi="仿宋_GB2312" w:cs="仿宋_GB2312"/>
                <w:sz w:val="24"/>
              </w:rPr>
            </w:pPr>
          </w:p>
        </w:tc>
        <w:tc>
          <w:tcPr>
            <w:tcW w:w="2790" w:type="dxa"/>
            <w:vAlign w:val="center"/>
          </w:tcPr>
          <w:p w:rsidR="00EB5C08" w:rsidRDefault="00EB5C08">
            <w:pPr>
              <w:jc w:val="center"/>
              <w:rPr>
                <w:rFonts w:ascii="仿宋_GB2312" w:eastAsia="仿宋_GB2312" w:hAnsi="仿宋_GB2312" w:cs="仿宋_GB2312"/>
                <w:sz w:val="24"/>
              </w:rPr>
            </w:pP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4590" w:type="dxa"/>
            <w:vAlign w:val="center"/>
          </w:tcPr>
          <w:p w:rsidR="00EB5C08" w:rsidRDefault="00EB5C08">
            <w:pPr>
              <w:jc w:val="left"/>
              <w:rPr>
                <w:rFonts w:ascii="仿宋_GB2312" w:eastAsia="仿宋_GB2312" w:hAnsi="仿宋_GB2312" w:cs="仿宋_GB2312"/>
                <w:sz w:val="24"/>
              </w:rPr>
            </w:pP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c>
          <w:tcPr>
            <w:tcW w:w="1830" w:type="dxa"/>
            <w:vMerge w:val="restart"/>
            <w:vAlign w:val="center"/>
          </w:tcPr>
          <w:p w:rsidR="00EB5C08" w:rsidRDefault="004D29CF">
            <w:pPr>
              <w:jc w:val="center"/>
              <w:rPr>
                <w:rFonts w:ascii="仿宋_GB2312" w:eastAsia="仿宋_GB2312" w:hAnsi="仿宋_GB2312" w:cs="仿宋_GB2312"/>
                <w:sz w:val="24"/>
              </w:rPr>
            </w:pPr>
            <w:r>
              <w:rPr>
                <w:b/>
                <w:bCs/>
                <w:noProof/>
              </w:rPr>
              <mc:AlternateContent>
                <mc:Choice Requires="wps">
                  <w:drawing>
                    <wp:anchor distT="0" distB="0" distL="114300" distR="114300" simplePos="0" relativeHeight="251658240" behindDoc="0" locked="0" layoutInCell="1" allowOverlap="1" wp14:anchorId="31C674DD" wp14:editId="257E1B01">
                      <wp:simplePos x="0" y="0"/>
                      <wp:positionH relativeFrom="column">
                        <wp:posOffset>-674370</wp:posOffset>
                      </wp:positionH>
                      <wp:positionV relativeFrom="paragraph">
                        <wp:posOffset>-111125</wp:posOffset>
                      </wp:positionV>
                      <wp:extent cx="506095" cy="5689600"/>
                      <wp:effectExtent l="0" t="0" r="8255" b="63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568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9CF" w:rsidRPr="002D0641" w:rsidRDefault="004D29CF" w:rsidP="00983731">
                                  <w:pPr>
                                    <w:pBdr>
                                      <w:top w:val="single" w:sz="4" w:space="1" w:color="auto"/>
                                      <w:bottom w:val="single" w:sz="4" w:space="1" w:color="auto"/>
                                    </w:pBdr>
                                    <w:spacing w:line="360" w:lineRule="exact"/>
                                    <w:ind w:firstLineChars="200" w:firstLine="560"/>
                                    <w:rPr>
                                      <w:rFonts w:ascii="仿宋_GB2312" w:eastAsia="仿宋_GB2312"/>
                                      <w:sz w:val="28"/>
                                      <w:szCs w:val="28"/>
                                    </w:rPr>
                                  </w:pPr>
                                  <w:r w:rsidRPr="002D0641">
                                    <w:rPr>
                                      <w:rFonts w:ascii="仿宋_GB2312" w:eastAsia="仿宋_GB2312" w:hint="eastAsia"/>
                                      <w:sz w:val="28"/>
                                      <w:szCs w:val="28"/>
                                    </w:rPr>
                                    <w:t>北京工商大学</w:t>
                                  </w:r>
                                  <w:r w:rsidR="00983731">
                                    <w:rPr>
                                      <w:rFonts w:ascii="仿宋_GB2312" w:eastAsia="仿宋_GB2312" w:hint="eastAsia"/>
                                      <w:sz w:val="28"/>
                                      <w:szCs w:val="28"/>
                                    </w:rPr>
                                    <w:t>学校</w:t>
                                  </w:r>
                                  <w:r w:rsidRPr="002D0641">
                                    <w:rPr>
                                      <w:rFonts w:ascii="仿宋_GB2312" w:eastAsia="仿宋_GB2312" w:hint="eastAsia"/>
                                      <w:sz w:val="28"/>
                                      <w:szCs w:val="28"/>
                                    </w:rPr>
                                    <w:t>办公室</w:t>
                                  </w:r>
                                  <w:r>
                                    <w:rPr>
                                      <w:rFonts w:ascii="仿宋_GB2312" w:eastAsia="仿宋_GB2312" w:hint="eastAsia"/>
                                      <w:sz w:val="28"/>
                                      <w:szCs w:val="28"/>
                                    </w:rPr>
                                    <w:t xml:space="preserve">   </w:t>
                                  </w:r>
                                  <w:r w:rsidR="00983731">
                                    <w:rPr>
                                      <w:rFonts w:ascii="仿宋_GB2312" w:eastAsia="仿宋_GB2312" w:hint="eastAsia"/>
                                      <w:sz w:val="28"/>
                                      <w:szCs w:val="28"/>
                                    </w:rPr>
                                    <w:t xml:space="preserve">  </w:t>
                                  </w:r>
                                  <w:bookmarkStart w:id="0" w:name="_GoBack"/>
                                  <w:bookmarkEnd w:id="0"/>
                                  <w:r>
                                    <w:rPr>
                                      <w:rFonts w:ascii="仿宋_GB2312" w:eastAsia="仿宋_GB2312" w:hint="eastAsia"/>
                                      <w:sz w:val="28"/>
                                      <w:szCs w:val="28"/>
                                    </w:rPr>
                                    <w:t xml:space="preserve">       2021</w:t>
                                  </w:r>
                                  <w:r w:rsidRPr="002D0641">
                                    <w:rPr>
                                      <w:rFonts w:ascii="仿宋_GB2312" w:eastAsia="仿宋_GB2312" w:hint="eastAsia"/>
                                      <w:sz w:val="28"/>
                                      <w:szCs w:val="28"/>
                                    </w:rPr>
                                    <w:t>年</w:t>
                                  </w:r>
                                  <w:r>
                                    <w:rPr>
                                      <w:rFonts w:ascii="仿宋_GB2312" w:eastAsia="仿宋_GB2312" w:hint="eastAsia"/>
                                      <w:sz w:val="28"/>
                                      <w:szCs w:val="28"/>
                                    </w:rPr>
                                    <w:t>1</w:t>
                                  </w:r>
                                  <w:r w:rsidRPr="002D0641">
                                    <w:rPr>
                                      <w:rFonts w:ascii="仿宋_GB2312" w:eastAsia="仿宋_GB2312" w:hint="eastAsia"/>
                                      <w:sz w:val="28"/>
                                      <w:szCs w:val="28"/>
                                    </w:rPr>
                                    <w:t>月</w:t>
                                  </w:r>
                                  <w:r>
                                    <w:rPr>
                                      <w:rFonts w:ascii="仿宋_GB2312" w:eastAsia="仿宋_GB2312" w:hint="eastAsia"/>
                                      <w:sz w:val="28"/>
                                      <w:szCs w:val="28"/>
                                    </w:rPr>
                                    <w:t>18</w:t>
                                  </w:r>
                                  <w:r w:rsidRPr="002D0641">
                                    <w:rPr>
                                      <w:rFonts w:ascii="仿宋_GB2312" w:eastAsia="仿宋_GB2312" w:hint="eastAsia"/>
                                      <w:sz w:val="28"/>
                                      <w:szCs w:val="28"/>
                                    </w:rPr>
                                    <w:t>日印发</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53.1pt;margin-top:-8.75pt;width:39.85pt;height:4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" stroked="f">
                      <v:textbox style="layout-flow:vertical">
                        <w:txbxContent>
                          <w:p w:rsidR="004D29CF" w:rsidRPr="002D0641" w:rsidRDefault="004D29CF" w:rsidP="00983731">
                            <w:pPr>
                              <w:pBdr>
                                <w:top w:val="single" w:sz="4" w:space="1" w:color="auto"/>
                                <w:bottom w:val="single" w:sz="4" w:space="1" w:color="auto"/>
                              </w:pBdr>
                              <w:spacing w:line="360" w:lineRule="exact"/>
                              <w:ind w:firstLineChars="200" w:firstLine="560"/>
                              <w:rPr>
                                <w:rFonts w:ascii="仿宋_GB2312" w:eastAsia="仿宋_GB2312"/>
                                <w:sz w:val="28"/>
                                <w:szCs w:val="28"/>
                              </w:rPr>
                            </w:pPr>
                            <w:r w:rsidRPr="002D0641">
                              <w:rPr>
                                <w:rFonts w:ascii="仿宋_GB2312" w:eastAsia="仿宋_GB2312" w:hint="eastAsia"/>
                                <w:sz w:val="28"/>
                                <w:szCs w:val="28"/>
                              </w:rPr>
                              <w:t>北京工商大学</w:t>
                            </w:r>
                            <w:r w:rsidR="00983731">
                              <w:rPr>
                                <w:rFonts w:ascii="仿宋_GB2312" w:eastAsia="仿宋_GB2312" w:hint="eastAsia"/>
                                <w:sz w:val="28"/>
                                <w:szCs w:val="28"/>
                              </w:rPr>
                              <w:t>学校</w:t>
                            </w:r>
                            <w:r w:rsidRPr="002D0641">
                              <w:rPr>
                                <w:rFonts w:ascii="仿宋_GB2312" w:eastAsia="仿宋_GB2312" w:hint="eastAsia"/>
                                <w:sz w:val="28"/>
                                <w:szCs w:val="28"/>
                              </w:rPr>
                              <w:t>办公室</w:t>
                            </w:r>
                            <w:r>
                              <w:rPr>
                                <w:rFonts w:ascii="仿宋_GB2312" w:eastAsia="仿宋_GB2312" w:hint="eastAsia"/>
                                <w:sz w:val="28"/>
                                <w:szCs w:val="28"/>
                              </w:rPr>
                              <w:t xml:space="preserve">   </w:t>
                            </w:r>
                            <w:r w:rsidR="00983731">
                              <w:rPr>
                                <w:rFonts w:ascii="仿宋_GB2312" w:eastAsia="仿宋_GB2312" w:hint="eastAsia"/>
                                <w:sz w:val="28"/>
                                <w:szCs w:val="28"/>
                              </w:rPr>
                              <w:t xml:space="preserve">  </w:t>
                            </w:r>
                            <w:bookmarkStart w:id="1" w:name="_GoBack"/>
                            <w:bookmarkEnd w:id="1"/>
                            <w:r>
                              <w:rPr>
                                <w:rFonts w:ascii="仿宋_GB2312" w:eastAsia="仿宋_GB2312" w:hint="eastAsia"/>
                                <w:sz w:val="28"/>
                                <w:szCs w:val="28"/>
                              </w:rPr>
                              <w:t xml:space="preserve">       2021</w:t>
                            </w:r>
                            <w:r w:rsidRPr="002D0641">
                              <w:rPr>
                                <w:rFonts w:ascii="仿宋_GB2312" w:eastAsia="仿宋_GB2312" w:hint="eastAsia"/>
                                <w:sz w:val="28"/>
                                <w:szCs w:val="28"/>
                              </w:rPr>
                              <w:t>年</w:t>
                            </w:r>
                            <w:r>
                              <w:rPr>
                                <w:rFonts w:ascii="仿宋_GB2312" w:eastAsia="仿宋_GB2312" w:hint="eastAsia"/>
                                <w:sz w:val="28"/>
                                <w:szCs w:val="28"/>
                              </w:rPr>
                              <w:t>1</w:t>
                            </w:r>
                            <w:r w:rsidRPr="002D0641">
                              <w:rPr>
                                <w:rFonts w:ascii="仿宋_GB2312" w:eastAsia="仿宋_GB2312" w:hint="eastAsia"/>
                                <w:sz w:val="28"/>
                                <w:szCs w:val="28"/>
                              </w:rPr>
                              <w:t>月</w:t>
                            </w:r>
                            <w:r>
                              <w:rPr>
                                <w:rFonts w:ascii="仿宋_GB2312" w:eastAsia="仿宋_GB2312" w:hint="eastAsia"/>
                                <w:sz w:val="28"/>
                                <w:szCs w:val="28"/>
                              </w:rPr>
                              <w:t>18</w:t>
                            </w:r>
                            <w:r w:rsidRPr="002D0641">
                              <w:rPr>
                                <w:rFonts w:ascii="仿宋_GB2312" w:eastAsia="仿宋_GB2312" w:hint="eastAsia"/>
                                <w:sz w:val="28"/>
                                <w:szCs w:val="28"/>
                              </w:rPr>
                              <w:t>日印发</w:t>
                            </w:r>
                          </w:p>
                        </w:txbxContent>
                      </v:textbox>
                    </v:shape>
                  </w:pict>
                </mc:Fallback>
              </mc:AlternateContent>
            </w:r>
            <w:r w:rsidR="00B96EE6">
              <w:rPr>
                <w:rFonts w:ascii="仿宋_GB2312" w:eastAsia="仿宋_GB2312" w:hAnsi="仿宋_GB2312" w:cs="仿宋_GB2312" w:hint="eastAsia"/>
                <w:sz w:val="24"/>
              </w:rPr>
              <w:t>专业（类）专业分流志愿、转专业情况</w:t>
            </w:r>
          </w:p>
        </w:tc>
        <w:tc>
          <w:tcPr>
            <w:tcW w:w="870" w:type="dxa"/>
            <w:vMerge w:val="restart"/>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79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毕业生对专业的认可度调查（毕业生调查）</w:t>
            </w: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40%</w:t>
            </w:r>
          </w:p>
        </w:tc>
        <w:tc>
          <w:tcPr>
            <w:tcW w:w="4590" w:type="dxa"/>
            <w:vAlign w:val="center"/>
          </w:tcPr>
          <w:p w:rsidR="00EB5C08" w:rsidRDefault="00B96EE6">
            <w:pPr>
              <w:jc w:val="left"/>
              <w:rPr>
                <w:rFonts w:ascii="仿宋_GB2312" w:eastAsia="仿宋_GB2312" w:hAnsi="仿宋_GB2312" w:cs="仿宋_GB2312"/>
                <w:sz w:val="24"/>
              </w:rPr>
            </w:pPr>
            <w:r>
              <w:rPr>
                <w:rFonts w:ascii="仿宋_GB2312" w:eastAsia="仿宋_GB2312" w:hAnsi="仿宋_GB2312" w:cs="仿宋_GB2312" w:hint="eastAsia"/>
                <w:sz w:val="24"/>
              </w:rPr>
              <w:t>每增加1个百分点加1分。</w:t>
            </w: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rPr>
          <w:trHeight w:val="300"/>
        </w:trPr>
        <w:tc>
          <w:tcPr>
            <w:tcW w:w="1830" w:type="dxa"/>
            <w:vMerge/>
            <w:vAlign w:val="center"/>
          </w:tcPr>
          <w:p w:rsidR="00EB5C08" w:rsidRDefault="00EB5C08">
            <w:pPr>
              <w:jc w:val="center"/>
              <w:rPr>
                <w:rFonts w:ascii="仿宋_GB2312" w:eastAsia="仿宋_GB2312" w:hAnsi="仿宋_GB2312" w:cs="仿宋_GB2312"/>
                <w:sz w:val="24"/>
              </w:rPr>
            </w:pPr>
          </w:p>
        </w:tc>
        <w:tc>
          <w:tcPr>
            <w:tcW w:w="870" w:type="dxa"/>
            <w:vMerge/>
            <w:vAlign w:val="center"/>
          </w:tcPr>
          <w:p w:rsidR="00EB5C08" w:rsidRDefault="00EB5C08">
            <w:pPr>
              <w:jc w:val="center"/>
              <w:rPr>
                <w:rFonts w:ascii="仿宋_GB2312" w:eastAsia="仿宋_GB2312" w:hAnsi="仿宋_GB2312" w:cs="仿宋_GB2312"/>
                <w:sz w:val="24"/>
              </w:rPr>
            </w:pPr>
          </w:p>
        </w:tc>
        <w:tc>
          <w:tcPr>
            <w:tcW w:w="279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转专业率</w:t>
            </w: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30%</w:t>
            </w:r>
          </w:p>
        </w:tc>
        <w:tc>
          <w:tcPr>
            <w:tcW w:w="4590" w:type="dxa"/>
            <w:vAlign w:val="center"/>
          </w:tcPr>
          <w:p w:rsidR="00EB5C08" w:rsidRDefault="00B96EE6">
            <w:pPr>
              <w:jc w:val="left"/>
              <w:rPr>
                <w:rFonts w:ascii="仿宋_GB2312" w:eastAsia="仿宋_GB2312" w:hAnsi="仿宋_GB2312" w:cs="仿宋_GB2312"/>
                <w:sz w:val="24"/>
              </w:rPr>
            </w:pPr>
            <w:r>
              <w:rPr>
                <w:rFonts w:ascii="仿宋_GB2312" w:eastAsia="仿宋_GB2312" w:hAnsi="仿宋_GB2312" w:cs="仿宋_GB2312" w:hint="eastAsia"/>
                <w:sz w:val="24"/>
              </w:rPr>
              <w:t>10%内为100分，每增加1个百分点扣除5分。</w:t>
            </w: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rPr>
          <w:trHeight w:val="272"/>
        </w:trPr>
        <w:tc>
          <w:tcPr>
            <w:tcW w:w="1830" w:type="dxa"/>
            <w:vMerge/>
            <w:vAlign w:val="center"/>
          </w:tcPr>
          <w:p w:rsidR="00EB5C08" w:rsidRDefault="00EB5C08">
            <w:pPr>
              <w:jc w:val="center"/>
              <w:rPr>
                <w:rFonts w:ascii="仿宋_GB2312" w:eastAsia="仿宋_GB2312" w:hAnsi="仿宋_GB2312" w:cs="仿宋_GB2312"/>
                <w:sz w:val="24"/>
              </w:rPr>
            </w:pPr>
          </w:p>
        </w:tc>
        <w:tc>
          <w:tcPr>
            <w:tcW w:w="870" w:type="dxa"/>
            <w:vMerge/>
            <w:vAlign w:val="center"/>
          </w:tcPr>
          <w:p w:rsidR="00EB5C08" w:rsidRDefault="00EB5C08">
            <w:pPr>
              <w:jc w:val="center"/>
              <w:rPr>
                <w:rFonts w:ascii="仿宋_GB2312" w:eastAsia="仿宋_GB2312" w:hAnsi="仿宋_GB2312" w:cs="仿宋_GB2312"/>
                <w:sz w:val="24"/>
              </w:rPr>
            </w:pPr>
          </w:p>
        </w:tc>
        <w:tc>
          <w:tcPr>
            <w:tcW w:w="279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分流专业志愿率</w:t>
            </w: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30%</w:t>
            </w:r>
          </w:p>
        </w:tc>
        <w:tc>
          <w:tcPr>
            <w:tcW w:w="4590" w:type="dxa"/>
            <w:vAlign w:val="center"/>
          </w:tcPr>
          <w:p w:rsidR="00EB5C08" w:rsidRDefault="00B96EE6">
            <w:pPr>
              <w:jc w:val="left"/>
              <w:rPr>
                <w:rFonts w:ascii="仿宋_GB2312" w:eastAsia="仿宋_GB2312" w:hAnsi="仿宋_GB2312" w:cs="仿宋_GB2312"/>
                <w:sz w:val="24"/>
              </w:rPr>
            </w:pPr>
            <w:r>
              <w:rPr>
                <w:rFonts w:ascii="仿宋_GB2312" w:eastAsia="仿宋_GB2312" w:hAnsi="仿宋_GB2312" w:cs="仿宋_GB2312" w:hint="eastAsia"/>
                <w:sz w:val="24"/>
              </w:rPr>
              <w:t>每增加1个百分点加1分。</w:t>
            </w: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rPr>
          <w:trHeight w:val="90"/>
        </w:trPr>
        <w:tc>
          <w:tcPr>
            <w:tcW w:w="183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小计</w:t>
            </w:r>
          </w:p>
        </w:tc>
        <w:tc>
          <w:tcPr>
            <w:tcW w:w="870" w:type="dxa"/>
            <w:vAlign w:val="center"/>
          </w:tcPr>
          <w:p w:rsidR="00EB5C08" w:rsidRDefault="00EB5C08">
            <w:pPr>
              <w:jc w:val="center"/>
              <w:rPr>
                <w:rFonts w:ascii="仿宋_GB2312" w:eastAsia="仿宋_GB2312" w:hAnsi="仿宋_GB2312" w:cs="仿宋_GB2312"/>
                <w:sz w:val="24"/>
              </w:rPr>
            </w:pPr>
          </w:p>
        </w:tc>
        <w:tc>
          <w:tcPr>
            <w:tcW w:w="2790" w:type="dxa"/>
            <w:vAlign w:val="center"/>
          </w:tcPr>
          <w:p w:rsidR="00EB5C08" w:rsidRDefault="00EB5C08">
            <w:pPr>
              <w:jc w:val="center"/>
              <w:rPr>
                <w:rFonts w:ascii="仿宋_GB2312" w:eastAsia="仿宋_GB2312" w:hAnsi="仿宋_GB2312" w:cs="仿宋_GB2312"/>
                <w:sz w:val="24"/>
              </w:rPr>
            </w:pP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4590" w:type="dxa"/>
            <w:vAlign w:val="center"/>
          </w:tcPr>
          <w:p w:rsidR="00EB5C08" w:rsidRDefault="00EB5C08">
            <w:pPr>
              <w:jc w:val="left"/>
              <w:rPr>
                <w:rFonts w:ascii="仿宋_GB2312" w:eastAsia="仿宋_GB2312" w:hAnsi="仿宋_GB2312" w:cs="仿宋_GB2312"/>
                <w:sz w:val="24"/>
              </w:rPr>
            </w:pP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rPr>
          <w:trHeight w:val="272"/>
        </w:trPr>
        <w:tc>
          <w:tcPr>
            <w:tcW w:w="1830" w:type="dxa"/>
            <w:vMerge w:val="restart"/>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专业(类)毕业生就业情况</w:t>
            </w:r>
          </w:p>
        </w:tc>
        <w:tc>
          <w:tcPr>
            <w:tcW w:w="870" w:type="dxa"/>
            <w:vMerge w:val="restart"/>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30%</w:t>
            </w:r>
          </w:p>
        </w:tc>
        <w:tc>
          <w:tcPr>
            <w:tcW w:w="279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就业率</w:t>
            </w: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35%</w:t>
            </w:r>
          </w:p>
        </w:tc>
        <w:tc>
          <w:tcPr>
            <w:tcW w:w="4590" w:type="dxa"/>
            <w:vAlign w:val="center"/>
          </w:tcPr>
          <w:p w:rsidR="00EB5C08" w:rsidRDefault="00B96EE6">
            <w:pPr>
              <w:jc w:val="left"/>
              <w:rPr>
                <w:rFonts w:ascii="仿宋_GB2312" w:eastAsia="仿宋_GB2312" w:hAnsi="仿宋_GB2312" w:cs="仿宋_GB2312"/>
                <w:sz w:val="24"/>
              </w:rPr>
            </w:pPr>
            <w:r>
              <w:rPr>
                <w:rFonts w:ascii="仿宋_GB2312" w:eastAsia="仿宋_GB2312" w:hAnsi="仿宋_GB2312" w:cs="仿宋_GB2312" w:hint="eastAsia"/>
                <w:sz w:val="24"/>
              </w:rPr>
              <w:t>每增加1个百分点加1分。</w:t>
            </w: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c>
          <w:tcPr>
            <w:tcW w:w="1830" w:type="dxa"/>
            <w:vMerge/>
            <w:vAlign w:val="center"/>
          </w:tcPr>
          <w:p w:rsidR="00EB5C08" w:rsidRDefault="00EB5C08">
            <w:pPr>
              <w:jc w:val="center"/>
              <w:rPr>
                <w:rFonts w:ascii="仿宋_GB2312" w:eastAsia="仿宋_GB2312" w:hAnsi="仿宋_GB2312" w:cs="仿宋_GB2312"/>
                <w:sz w:val="24"/>
              </w:rPr>
            </w:pPr>
          </w:p>
        </w:tc>
        <w:tc>
          <w:tcPr>
            <w:tcW w:w="870" w:type="dxa"/>
            <w:vMerge/>
            <w:vAlign w:val="center"/>
          </w:tcPr>
          <w:p w:rsidR="00EB5C08" w:rsidRDefault="00EB5C08">
            <w:pPr>
              <w:jc w:val="center"/>
              <w:rPr>
                <w:rFonts w:ascii="仿宋_GB2312" w:eastAsia="仿宋_GB2312" w:hAnsi="仿宋_GB2312" w:cs="仿宋_GB2312"/>
                <w:sz w:val="24"/>
              </w:rPr>
            </w:pPr>
          </w:p>
        </w:tc>
        <w:tc>
          <w:tcPr>
            <w:tcW w:w="279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深造率</w:t>
            </w: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35%</w:t>
            </w:r>
          </w:p>
        </w:tc>
        <w:tc>
          <w:tcPr>
            <w:tcW w:w="4590" w:type="dxa"/>
            <w:vAlign w:val="center"/>
          </w:tcPr>
          <w:p w:rsidR="00EB5C08" w:rsidRDefault="00B96EE6">
            <w:pPr>
              <w:jc w:val="left"/>
              <w:rPr>
                <w:rFonts w:ascii="仿宋_GB2312" w:eastAsia="仿宋_GB2312" w:hAnsi="仿宋_GB2312" w:cs="仿宋_GB2312"/>
                <w:sz w:val="24"/>
              </w:rPr>
            </w:pPr>
            <w:r>
              <w:rPr>
                <w:rFonts w:ascii="仿宋_GB2312" w:eastAsia="仿宋_GB2312" w:hAnsi="仿宋_GB2312" w:cs="仿宋_GB2312" w:hint="eastAsia"/>
                <w:sz w:val="24"/>
              </w:rPr>
              <w:t>每增加1个百分点加2.5分。（艺术类专业可调整1个百分点为5分）</w:t>
            </w: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c>
          <w:tcPr>
            <w:tcW w:w="1830" w:type="dxa"/>
            <w:vMerge/>
            <w:vAlign w:val="center"/>
          </w:tcPr>
          <w:p w:rsidR="00EB5C08" w:rsidRDefault="00EB5C08">
            <w:pPr>
              <w:jc w:val="center"/>
              <w:rPr>
                <w:rFonts w:ascii="仿宋_GB2312" w:eastAsia="仿宋_GB2312" w:hAnsi="仿宋_GB2312" w:cs="仿宋_GB2312"/>
                <w:sz w:val="24"/>
              </w:rPr>
            </w:pPr>
          </w:p>
        </w:tc>
        <w:tc>
          <w:tcPr>
            <w:tcW w:w="870" w:type="dxa"/>
            <w:vMerge/>
            <w:vAlign w:val="center"/>
          </w:tcPr>
          <w:p w:rsidR="00EB5C08" w:rsidRDefault="00EB5C08">
            <w:pPr>
              <w:jc w:val="center"/>
              <w:rPr>
                <w:rFonts w:ascii="仿宋_GB2312" w:eastAsia="仿宋_GB2312" w:hAnsi="仿宋_GB2312" w:cs="仿宋_GB2312"/>
                <w:sz w:val="24"/>
              </w:rPr>
            </w:pPr>
          </w:p>
        </w:tc>
        <w:tc>
          <w:tcPr>
            <w:tcW w:w="279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毕业薪酬</w:t>
            </w: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4590" w:type="dxa"/>
            <w:vAlign w:val="center"/>
          </w:tcPr>
          <w:p w:rsidR="00EB5C08" w:rsidRDefault="00B96EE6">
            <w:pPr>
              <w:jc w:val="left"/>
              <w:rPr>
                <w:rFonts w:ascii="仿宋_GB2312" w:eastAsia="仿宋_GB2312" w:hAnsi="仿宋_GB2312" w:cs="仿宋_GB2312"/>
                <w:sz w:val="24"/>
              </w:rPr>
            </w:pPr>
            <w:r>
              <w:rPr>
                <w:rFonts w:ascii="仿宋_GB2312" w:eastAsia="仿宋_GB2312" w:hAnsi="仿宋_GB2312" w:cs="仿宋_GB2312" w:hint="eastAsia"/>
                <w:sz w:val="24"/>
              </w:rPr>
              <w:t>学校平均数为80分，每增加0.1万元加10分，最高100分；每低于1个百分点减10分。</w:t>
            </w: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rPr>
          <w:trHeight w:val="257"/>
        </w:trPr>
        <w:tc>
          <w:tcPr>
            <w:tcW w:w="1830" w:type="dxa"/>
            <w:vMerge/>
            <w:vAlign w:val="center"/>
          </w:tcPr>
          <w:p w:rsidR="00EB5C08" w:rsidRDefault="00EB5C08">
            <w:pPr>
              <w:jc w:val="center"/>
              <w:rPr>
                <w:rFonts w:ascii="仿宋_GB2312" w:eastAsia="仿宋_GB2312" w:hAnsi="仿宋_GB2312" w:cs="仿宋_GB2312"/>
                <w:sz w:val="24"/>
              </w:rPr>
            </w:pPr>
          </w:p>
        </w:tc>
        <w:tc>
          <w:tcPr>
            <w:tcW w:w="870" w:type="dxa"/>
            <w:vMerge/>
            <w:vAlign w:val="center"/>
          </w:tcPr>
          <w:p w:rsidR="00EB5C08" w:rsidRDefault="00EB5C08">
            <w:pPr>
              <w:jc w:val="center"/>
              <w:rPr>
                <w:rFonts w:ascii="仿宋_GB2312" w:eastAsia="仿宋_GB2312" w:hAnsi="仿宋_GB2312" w:cs="仿宋_GB2312"/>
                <w:sz w:val="24"/>
              </w:rPr>
            </w:pPr>
          </w:p>
        </w:tc>
        <w:tc>
          <w:tcPr>
            <w:tcW w:w="279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就业满意度（毕业生调查）</w:t>
            </w: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4590" w:type="dxa"/>
            <w:vAlign w:val="center"/>
          </w:tcPr>
          <w:p w:rsidR="00EB5C08" w:rsidRDefault="00B96EE6">
            <w:pPr>
              <w:jc w:val="left"/>
              <w:rPr>
                <w:rFonts w:ascii="仿宋_GB2312" w:eastAsia="仿宋_GB2312" w:hAnsi="仿宋_GB2312" w:cs="仿宋_GB2312"/>
                <w:sz w:val="24"/>
              </w:rPr>
            </w:pPr>
            <w:r>
              <w:rPr>
                <w:rFonts w:ascii="仿宋_GB2312" w:eastAsia="仿宋_GB2312" w:hAnsi="仿宋_GB2312" w:cs="仿宋_GB2312" w:hint="eastAsia"/>
                <w:sz w:val="24"/>
              </w:rPr>
              <w:t>满意、基本满意每增加1个百分点加1分。</w:t>
            </w: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rPr>
          <w:trHeight w:val="182"/>
        </w:trPr>
        <w:tc>
          <w:tcPr>
            <w:tcW w:w="183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小计</w:t>
            </w:r>
          </w:p>
        </w:tc>
        <w:tc>
          <w:tcPr>
            <w:tcW w:w="870" w:type="dxa"/>
            <w:vAlign w:val="center"/>
          </w:tcPr>
          <w:p w:rsidR="00EB5C08" w:rsidRDefault="00EB5C08">
            <w:pPr>
              <w:jc w:val="center"/>
              <w:rPr>
                <w:rFonts w:ascii="仿宋_GB2312" w:eastAsia="仿宋_GB2312" w:hAnsi="仿宋_GB2312" w:cs="仿宋_GB2312"/>
                <w:sz w:val="24"/>
              </w:rPr>
            </w:pPr>
          </w:p>
        </w:tc>
        <w:tc>
          <w:tcPr>
            <w:tcW w:w="2790" w:type="dxa"/>
            <w:vAlign w:val="center"/>
          </w:tcPr>
          <w:p w:rsidR="00EB5C08" w:rsidRDefault="00EB5C08">
            <w:pPr>
              <w:jc w:val="center"/>
              <w:rPr>
                <w:rFonts w:ascii="仿宋_GB2312" w:eastAsia="仿宋_GB2312" w:hAnsi="仿宋_GB2312" w:cs="仿宋_GB2312"/>
                <w:sz w:val="24"/>
              </w:rPr>
            </w:pPr>
          </w:p>
        </w:tc>
        <w:tc>
          <w:tcPr>
            <w:tcW w:w="81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4590" w:type="dxa"/>
            <w:vAlign w:val="center"/>
          </w:tcPr>
          <w:p w:rsidR="00EB5C08" w:rsidRDefault="00EB5C08">
            <w:pPr>
              <w:jc w:val="left"/>
              <w:rPr>
                <w:rFonts w:ascii="仿宋_GB2312" w:eastAsia="仿宋_GB2312" w:hAnsi="仿宋_GB2312" w:cs="仿宋_GB2312"/>
                <w:sz w:val="24"/>
              </w:rPr>
            </w:pPr>
          </w:p>
        </w:tc>
        <w:tc>
          <w:tcPr>
            <w:tcW w:w="1030" w:type="dxa"/>
            <w:vAlign w:val="center"/>
          </w:tcPr>
          <w:p w:rsidR="00EB5C08" w:rsidRDefault="00EB5C08">
            <w:pPr>
              <w:jc w:val="center"/>
              <w:rPr>
                <w:rFonts w:ascii="仿宋_GB2312" w:eastAsia="仿宋_GB2312" w:hAnsi="仿宋_GB2312" w:cs="仿宋_GB2312"/>
                <w:b/>
                <w:bCs/>
                <w:sz w:val="24"/>
              </w:rPr>
            </w:pPr>
          </w:p>
        </w:tc>
        <w:tc>
          <w:tcPr>
            <w:tcW w:w="1890" w:type="dxa"/>
            <w:vAlign w:val="center"/>
          </w:tcPr>
          <w:p w:rsidR="00EB5C08" w:rsidRDefault="00EB5C08">
            <w:pPr>
              <w:jc w:val="center"/>
              <w:rPr>
                <w:rFonts w:ascii="仿宋_GB2312" w:eastAsia="仿宋_GB2312" w:hAnsi="仿宋_GB2312" w:cs="仿宋_GB2312"/>
                <w:b/>
                <w:bCs/>
                <w:sz w:val="24"/>
              </w:rPr>
            </w:pPr>
          </w:p>
        </w:tc>
      </w:tr>
      <w:tr w:rsidR="00EB5C08">
        <w:trPr>
          <w:trHeight w:val="207"/>
        </w:trPr>
        <w:tc>
          <w:tcPr>
            <w:tcW w:w="183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870" w:type="dxa"/>
            <w:vAlign w:val="center"/>
          </w:tcPr>
          <w:p w:rsidR="00EB5C08" w:rsidRDefault="00B96EE6">
            <w:pPr>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2790" w:type="dxa"/>
            <w:vAlign w:val="center"/>
          </w:tcPr>
          <w:p w:rsidR="00EB5C08" w:rsidRDefault="00EB5C08">
            <w:pPr>
              <w:jc w:val="center"/>
              <w:rPr>
                <w:rFonts w:ascii="仿宋_GB2312" w:eastAsia="仿宋_GB2312" w:hAnsi="仿宋_GB2312" w:cs="仿宋_GB2312"/>
                <w:sz w:val="24"/>
              </w:rPr>
            </w:pPr>
          </w:p>
        </w:tc>
        <w:tc>
          <w:tcPr>
            <w:tcW w:w="810" w:type="dxa"/>
            <w:vAlign w:val="center"/>
          </w:tcPr>
          <w:p w:rsidR="00EB5C08" w:rsidRDefault="00EB5C08">
            <w:pPr>
              <w:jc w:val="center"/>
              <w:rPr>
                <w:rFonts w:ascii="仿宋_GB2312" w:eastAsia="仿宋_GB2312" w:hAnsi="仿宋_GB2312" w:cs="仿宋_GB2312"/>
                <w:sz w:val="24"/>
              </w:rPr>
            </w:pPr>
          </w:p>
        </w:tc>
        <w:tc>
          <w:tcPr>
            <w:tcW w:w="4590" w:type="dxa"/>
            <w:vAlign w:val="center"/>
          </w:tcPr>
          <w:p w:rsidR="00EB5C08" w:rsidRDefault="00EB5C08">
            <w:pPr>
              <w:jc w:val="left"/>
              <w:rPr>
                <w:rFonts w:ascii="仿宋_GB2312" w:eastAsia="仿宋_GB2312" w:hAnsi="仿宋_GB2312" w:cs="仿宋_GB2312"/>
                <w:sz w:val="24"/>
              </w:rPr>
            </w:pPr>
          </w:p>
        </w:tc>
        <w:tc>
          <w:tcPr>
            <w:tcW w:w="2920" w:type="dxa"/>
            <w:gridSpan w:val="2"/>
            <w:vAlign w:val="center"/>
          </w:tcPr>
          <w:p w:rsidR="00EB5C08" w:rsidRDefault="00EB5C08">
            <w:pPr>
              <w:jc w:val="center"/>
              <w:rPr>
                <w:rFonts w:ascii="仿宋_GB2312" w:eastAsia="仿宋_GB2312" w:hAnsi="仿宋_GB2312" w:cs="仿宋_GB2312"/>
                <w:b/>
                <w:bCs/>
                <w:sz w:val="24"/>
              </w:rPr>
            </w:pPr>
          </w:p>
        </w:tc>
      </w:tr>
    </w:tbl>
    <w:p w:rsidR="00EB5C08" w:rsidRDefault="00EB5C08">
      <w:pPr>
        <w:rPr>
          <w:b/>
          <w:bCs/>
        </w:rPr>
      </w:pPr>
    </w:p>
    <w:sectPr w:rsidR="00EB5C0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3C" w:rsidRDefault="00AE403C">
      <w:r>
        <w:separator/>
      </w:r>
    </w:p>
  </w:endnote>
  <w:endnote w:type="continuationSeparator" w:id="0">
    <w:p w:rsidR="00AE403C" w:rsidRDefault="00AE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08" w:rsidRDefault="00B96EE6">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B5C08" w:rsidRDefault="00B96EE6">
                          <w:pPr>
                            <w:pStyle w:val="a4"/>
                          </w:pPr>
                          <w:r>
                            <w:rPr>
                              <w:rFonts w:hint="eastAsia"/>
                            </w:rPr>
                            <w:fldChar w:fldCharType="begin"/>
                          </w:r>
                          <w:r>
                            <w:rPr>
                              <w:rFonts w:hint="eastAsia"/>
                            </w:rPr>
                            <w:instrText xml:space="preserve"> PAGE  \* MERGEFORMAT </w:instrText>
                          </w:r>
                          <w:r>
                            <w:rPr>
                              <w:rFonts w:hint="eastAsia"/>
                            </w:rPr>
                            <w:fldChar w:fldCharType="separate"/>
                          </w:r>
                          <w:r w:rsidR="00AE403C">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B5C08" w:rsidRDefault="00B96EE6">
                    <w:pPr>
                      <w:pStyle w:val="a4"/>
                    </w:pPr>
                    <w:r>
                      <w:rPr>
                        <w:rFonts w:hint="eastAsia"/>
                      </w:rPr>
                      <w:fldChar w:fldCharType="begin"/>
                    </w:r>
                    <w:r>
                      <w:rPr>
                        <w:rFonts w:hint="eastAsia"/>
                      </w:rPr>
                      <w:instrText xml:space="preserve"> PAGE  \* MERGEFORMAT </w:instrText>
                    </w:r>
                    <w:r>
                      <w:rPr>
                        <w:rFonts w:hint="eastAsia"/>
                      </w:rPr>
                      <w:fldChar w:fldCharType="separate"/>
                    </w:r>
                    <w:r w:rsidR="00AE403C">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3C" w:rsidRDefault="00AE403C">
      <w:r>
        <w:separator/>
      </w:r>
    </w:p>
  </w:footnote>
  <w:footnote w:type="continuationSeparator" w:id="0">
    <w:p w:rsidR="00AE403C" w:rsidRDefault="00AE4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D7B3F"/>
    <w:rsid w:val="00007B91"/>
    <w:rsid w:val="00041172"/>
    <w:rsid w:val="000536B1"/>
    <w:rsid w:val="00141A6C"/>
    <w:rsid w:val="001E2069"/>
    <w:rsid w:val="00281077"/>
    <w:rsid w:val="002C46DF"/>
    <w:rsid w:val="003B0B5D"/>
    <w:rsid w:val="00407506"/>
    <w:rsid w:val="004D29CF"/>
    <w:rsid w:val="0053620E"/>
    <w:rsid w:val="00544FA8"/>
    <w:rsid w:val="006B403B"/>
    <w:rsid w:val="00730213"/>
    <w:rsid w:val="00750C43"/>
    <w:rsid w:val="008256AB"/>
    <w:rsid w:val="008B5ED4"/>
    <w:rsid w:val="009362D0"/>
    <w:rsid w:val="009426E8"/>
    <w:rsid w:val="00983731"/>
    <w:rsid w:val="009A0839"/>
    <w:rsid w:val="00A556F0"/>
    <w:rsid w:val="00AB799D"/>
    <w:rsid w:val="00AE403C"/>
    <w:rsid w:val="00B06842"/>
    <w:rsid w:val="00B81767"/>
    <w:rsid w:val="00B96EE6"/>
    <w:rsid w:val="00CC766D"/>
    <w:rsid w:val="00DF3487"/>
    <w:rsid w:val="00EB5C08"/>
    <w:rsid w:val="00F26F14"/>
    <w:rsid w:val="05D35EFF"/>
    <w:rsid w:val="07975906"/>
    <w:rsid w:val="09DE08C3"/>
    <w:rsid w:val="0A522BA4"/>
    <w:rsid w:val="0BC9189D"/>
    <w:rsid w:val="0CB634A0"/>
    <w:rsid w:val="0DF2065B"/>
    <w:rsid w:val="0F4D706A"/>
    <w:rsid w:val="101617CF"/>
    <w:rsid w:val="10FC5A59"/>
    <w:rsid w:val="16732EB9"/>
    <w:rsid w:val="19DD2996"/>
    <w:rsid w:val="1D6717E1"/>
    <w:rsid w:val="1D727AC1"/>
    <w:rsid w:val="1F447AFC"/>
    <w:rsid w:val="21A9157B"/>
    <w:rsid w:val="242D2807"/>
    <w:rsid w:val="2476665A"/>
    <w:rsid w:val="25E60BE2"/>
    <w:rsid w:val="26D541D3"/>
    <w:rsid w:val="27755621"/>
    <w:rsid w:val="2E227550"/>
    <w:rsid w:val="2E2F7B72"/>
    <w:rsid w:val="30F530A9"/>
    <w:rsid w:val="32DB75F3"/>
    <w:rsid w:val="38680806"/>
    <w:rsid w:val="3E877476"/>
    <w:rsid w:val="41FD7B3F"/>
    <w:rsid w:val="42350AD0"/>
    <w:rsid w:val="442B480A"/>
    <w:rsid w:val="47965CED"/>
    <w:rsid w:val="4EE434CD"/>
    <w:rsid w:val="51BD02D0"/>
    <w:rsid w:val="58603611"/>
    <w:rsid w:val="5C533190"/>
    <w:rsid w:val="5EEF7B40"/>
    <w:rsid w:val="6649732A"/>
    <w:rsid w:val="664E46FF"/>
    <w:rsid w:val="66A728C8"/>
    <w:rsid w:val="67156F8F"/>
    <w:rsid w:val="69722EEC"/>
    <w:rsid w:val="69742429"/>
    <w:rsid w:val="6BB609A4"/>
    <w:rsid w:val="6C7F379B"/>
    <w:rsid w:val="71491A60"/>
    <w:rsid w:val="7ACC36BE"/>
    <w:rsid w:val="7DBB25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a0"/>
    <w:qFormat/>
    <w:rPr>
      <w:rFonts w:ascii="Times New Roman" w:hAnsi="Times New Roman" w:cs="Times New Roman" w:hint="default"/>
      <w:b/>
    </w:rPr>
  </w:style>
  <w:style w:type="character" w:customStyle="1" w:styleId="10">
    <w:name w:val="10"/>
    <w:basedOn w:val="a0"/>
    <w:qFormat/>
    <w:rPr>
      <w:rFonts w:ascii="Times New Roman" w:hAnsi="Times New Roman" w:cs="Times New Roman" w:hint="default"/>
    </w:rPr>
  </w:style>
  <w:style w:type="paragraph" w:styleId="a7">
    <w:name w:val="List Paragraph"/>
    <w:basedOn w:val="a"/>
    <w:uiPriority w:val="34"/>
    <w:qFormat/>
    <w:pPr>
      <w:ind w:firstLineChars="200" w:firstLine="420"/>
    </w:pPr>
  </w:style>
  <w:style w:type="character" w:customStyle="1" w:styleId="Char">
    <w:name w:val="批注框文本 Char"/>
    <w:basedOn w:val="a0"/>
    <w:link w:val="a3"/>
    <w:qFormat/>
    <w:rPr>
      <w:kern w:val="2"/>
      <w:sz w:val="18"/>
      <w:szCs w:val="18"/>
    </w:rPr>
  </w:style>
  <w:style w:type="character" w:customStyle="1" w:styleId="description">
    <w:name w:val="description"/>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a0"/>
    <w:qFormat/>
    <w:rPr>
      <w:rFonts w:ascii="Times New Roman" w:hAnsi="Times New Roman" w:cs="Times New Roman" w:hint="default"/>
      <w:b/>
    </w:rPr>
  </w:style>
  <w:style w:type="character" w:customStyle="1" w:styleId="10">
    <w:name w:val="10"/>
    <w:basedOn w:val="a0"/>
    <w:qFormat/>
    <w:rPr>
      <w:rFonts w:ascii="Times New Roman" w:hAnsi="Times New Roman" w:cs="Times New Roman" w:hint="default"/>
    </w:rPr>
  </w:style>
  <w:style w:type="paragraph" w:styleId="a7">
    <w:name w:val="List Paragraph"/>
    <w:basedOn w:val="a"/>
    <w:uiPriority w:val="34"/>
    <w:qFormat/>
    <w:pPr>
      <w:ind w:firstLineChars="200" w:firstLine="420"/>
    </w:pPr>
  </w:style>
  <w:style w:type="character" w:customStyle="1" w:styleId="Char">
    <w:name w:val="批注框文本 Char"/>
    <w:basedOn w:val="a0"/>
    <w:link w:val="a3"/>
    <w:qFormat/>
    <w:rPr>
      <w:kern w:val="2"/>
      <w:sz w:val="18"/>
      <w:szCs w:val="18"/>
    </w:rPr>
  </w:style>
  <w:style w:type="character" w:customStyle="1" w:styleId="description">
    <w:name w:val="description"/>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杨林</dc:creator>
  <cp:lastModifiedBy>1016</cp:lastModifiedBy>
  <cp:revision>13</cp:revision>
  <cp:lastPrinted>2021-01-18T02:46:00Z</cp:lastPrinted>
  <dcterms:created xsi:type="dcterms:W3CDTF">2020-09-08T08:30:00Z</dcterms:created>
  <dcterms:modified xsi:type="dcterms:W3CDTF">2021-01-20T02:38:00Z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